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EB614" w14:textId="77777777" w:rsidR="00C05EBE" w:rsidRPr="00C05EBE" w:rsidRDefault="00C05EBE" w:rsidP="00C05EBE">
      <w:pPr>
        <w:shd w:val="clear" w:color="auto" w:fill="FFFF00"/>
        <w:jc w:val="both"/>
        <w:rPr>
          <w:b/>
          <w:sz w:val="28"/>
        </w:rPr>
      </w:pPr>
      <w:bookmarkStart w:id="0" w:name="_Toc42488096"/>
      <w:r>
        <w:rPr>
          <w:rFonts w:ascii="Times New Roman" w:hAnsi="Times New Roman"/>
          <w:b/>
          <w:sz w:val="22"/>
        </w:rPr>
        <w:t xml:space="preserve">Comment compléter ces conditions </w:t>
      </w:r>
      <w:proofErr w:type="gramStart"/>
      <w:r>
        <w:rPr>
          <w:rFonts w:ascii="Times New Roman" w:hAnsi="Times New Roman"/>
          <w:b/>
          <w:sz w:val="22"/>
        </w:rPr>
        <w:t>particulières:</w:t>
      </w:r>
      <w:proofErr w:type="gramEnd"/>
    </w:p>
    <w:p w14:paraId="555BFA07" w14:textId="77777777" w:rsidR="00C05EBE" w:rsidRPr="00C05EBE" w:rsidRDefault="00C05EBE" w:rsidP="00C05EBE">
      <w:pPr>
        <w:shd w:val="clear" w:color="auto" w:fill="FFFF00"/>
        <w:jc w:val="both"/>
        <w:rPr>
          <w:rFonts w:ascii="Times New Roman" w:hAnsi="Times New Roman"/>
          <w:sz w:val="22"/>
          <w:szCs w:val="22"/>
        </w:rPr>
      </w:pPr>
      <w:r>
        <w:rPr>
          <w:rFonts w:ascii="Times New Roman" w:hAnsi="Times New Roman"/>
          <w:b/>
          <w:sz w:val="22"/>
        </w:rPr>
        <w:t>Pour les termes entre &lt;…&gt;, introduire l’information appropriée aux conditions particulières</w:t>
      </w:r>
      <w:bookmarkStart w:id="1" w:name="_Hlk132981006"/>
      <w:r>
        <w:rPr>
          <w:rFonts w:ascii="Times New Roman" w:hAnsi="Times New Roman"/>
          <w:sz w:val="22"/>
        </w:rPr>
        <w:t xml:space="preserve">. Les phrases entre </w:t>
      </w:r>
      <w:proofErr w:type="gramStart"/>
      <w:r>
        <w:rPr>
          <w:rFonts w:ascii="Times New Roman" w:hAnsi="Times New Roman"/>
          <w:sz w:val="22"/>
        </w:rPr>
        <w:t>[ ]</w:t>
      </w:r>
      <w:proofErr w:type="gramEnd"/>
      <w:r>
        <w:rPr>
          <w:rFonts w:ascii="Times New Roman" w:hAnsi="Times New Roman"/>
          <w:sz w:val="22"/>
        </w:rPr>
        <w:t xml:space="preserve"> ne doivent être introduites que si cela est pertinent, tandis que les paragraphes grisés ne doivent être modifiés que dans des cas exceptionnels, selon les obligations découlant de procédures de soumission particulières.</w:t>
      </w:r>
    </w:p>
    <w:bookmarkEnd w:id="1"/>
    <w:p w14:paraId="4493BEE7" w14:textId="77777777" w:rsidR="00C05EBE" w:rsidRPr="00C05EBE" w:rsidRDefault="00C05EBE" w:rsidP="00C05EBE">
      <w:pPr>
        <w:shd w:val="clear" w:color="auto" w:fill="FFFF00"/>
        <w:jc w:val="both"/>
        <w:rPr>
          <w:rFonts w:ascii="Times New Roman" w:hAnsi="Times New Roman"/>
          <w:b/>
          <w:sz w:val="22"/>
          <w:szCs w:val="22"/>
        </w:rPr>
      </w:pPr>
      <w:r>
        <w:rPr>
          <w:rFonts w:ascii="Times New Roman" w:hAnsi="Times New Roman"/>
          <w:b/>
          <w:sz w:val="22"/>
        </w:rPr>
        <w:t>Veuillez noter que les conditions particulières peuvent déroger aux conditions générales. Dans les cas où une telle dérogation n’est pas prévue aux conditions générales, l’autorisation des services compétents de la Commission européenne est requise.</w:t>
      </w:r>
    </w:p>
    <w:p w14:paraId="0BDF49FC" w14:textId="2C977F06" w:rsidR="00C05EBE" w:rsidRPr="00B5440B" w:rsidRDefault="00C05EBE" w:rsidP="00B5440B">
      <w:pPr>
        <w:shd w:val="clear" w:color="auto" w:fill="FFFF00"/>
        <w:jc w:val="both"/>
        <w:rPr>
          <w:rFonts w:ascii="Times New Roman" w:hAnsi="Times New Roman"/>
          <w:sz w:val="22"/>
          <w:szCs w:val="22"/>
        </w:rPr>
      </w:pPr>
      <w:bookmarkStart w:id="2" w:name="_Hlk132980969"/>
      <w:r>
        <w:rPr>
          <w:rFonts w:ascii="Times New Roman" w:hAnsi="Times New Roman"/>
          <w:sz w:val="22"/>
        </w:rPr>
        <w:t>N’oubliez pas de supprimer le présent paragraphe et tous les crochets dans la version définitive des conditions particulières.</w:t>
      </w:r>
    </w:p>
    <w:bookmarkEnd w:id="2"/>
    <w:p w14:paraId="2E2316F6" w14:textId="083497D9" w:rsidR="0047783A" w:rsidRPr="00B5440B" w:rsidRDefault="0047783A" w:rsidP="00035D61">
      <w:pPr>
        <w:pStyle w:val="Heading1"/>
        <w:keepNext w:val="0"/>
        <w:numPr>
          <w:ilvl w:val="0"/>
          <w:numId w:val="0"/>
        </w:numPr>
        <w:jc w:val="center"/>
        <w:rPr>
          <w:rFonts w:ascii="Times New Roman" w:hAnsi="Times New Roman"/>
          <w:iCs/>
          <w:sz w:val="28"/>
          <w:szCs w:val="28"/>
        </w:rPr>
      </w:pPr>
      <w:r>
        <w:rPr>
          <w:rFonts w:ascii="Times New Roman" w:hAnsi="Times New Roman"/>
          <w:sz w:val="28"/>
        </w:rPr>
        <w:t>CONDITIONS PARTICULIÈRES</w:t>
      </w:r>
      <w:bookmarkEnd w:id="0"/>
      <w:r>
        <w:rPr>
          <w:rFonts w:ascii="Times New Roman" w:hAnsi="Times New Roman"/>
          <w:sz w:val="28"/>
        </w:rPr>
        <w:t xml:space="preserve"> APPLICABLES AUX ACTIONS EXTÉRIEURES DE L’UNION EUROPÉENNE</w:t>
      </w:r>
    </w:p>
    <w:p w14:paraId="1334B0B7" w14:textId="1B4198D0" w:rsidR="0047783A" w:rsidRPr="00B5440B" w:rsidRDefault="005A123C" w:rsidP="0047783A">
      <w:pPr>
        <w:spacing w:before="240"/>
        <w:ind w:left="567" w:hanging="567"/>
        <w:outlineLvl w:val="0"/>
        <w:rPr>
          <w:rFonts w:ascii="Times New Roman Bold" w:hAnsi="Times New Roman Bold"/>
          <w:b/>
          <w:smallCaps/>
          <w:sz w:val="28"/>
          <w:szCs w:val="28"/>
        </w:rPr>
      </w:pPr>
      <w:r>
        <w:rPr>
          <w:rFonts w:ascii="Times New Roman Bold" w:hAnsi="Times New Roman Bold"/>
          <w:b/>
          <w:smallCaps/>
          <w:sz w:val="28"/>
        </w:rPr>
        <w:t>Table des matières</w:t>
      </w:r>
    </w:p>
    <w:p w14:paraId="1B4ECA1C" w14:textId="3317773A" w:rsidR="00317D86" w:rsidRPr="003D6B6C" w:rsidRDefault="0047783A" w:rsidP="0047783A">
      <w:pPr>
        <w:jc w:val="both"/>
        <w:rPr>
          <w:rFonts w:ascii="Times New Roman" w:hAnsi="Times New Roman"/>
          <w:sz w:val="22"/>
          <w:szCs w:val="22"/>
        </w:rPr>
      </w:pPr>
      <w:r>
        <w:rPr>
          <w:rFonts w:ascii="Times New Roman" w:hAnsi="Times New Roman"/>
          <w:sz w:val="22"/>
        </w:rPr>
        <w:t xml:space="preserve">Les présentes conditions particulières précisent et complètent les dispositions des conditions générales applicables au marché. Sauf si les conditions particulières en disposent autrement, les dispositions des conditions générales susmentionnées demeurent pleinement applicables. La numérotation des articles des conditions particulières n’est pas consécutive et suit la numérotation des articles des conditions </w:t>
      </w:r>
      <w:bookmarkStart w:id="3" w:name="_Hlk132980891"/>
      <w:r>
        <w:rPr>
          <w:rFonts w:ascii="Times New Roman" w:hAnsi="Times New Roman"/>
          <w:sz w:val="22"/>
        </w:rPr>
        <w:t xml:space="preserve">générales. À titre exceptionnel et avec l’autorisation des services compétents de la Commission européenne, d’autres clauses peuvent être introduites pour couvrir des situations particulières. </w:t>
      </w:r>
      <w:bookmarkEnd w:id="3"/>
    </w:p>
    <w:p w14:paraId="17152D5C" w14:textId="77777777" w:rsidR="00A13EB8" w:rsidRPr="00B5440B" w:rsidRDefault="00A13EB8" w:rsidP="00B5440B">
      <w:pPr>
        <w:outlineLvl w:val="0"/>
        <w:rPr>
          <w:rFonts w:ascii="Times New Roman" w:hAnsi="Times New Roman"/>
          <w:b/>
          <w:sz w:val="24"/>
          <w:szCs w:val="24"/>
        </w:rPr>
      </w:pPr>
      <w:bookmarkStart w:id="4" w:name="_Toc124934896"/>
      <w:r>
        <w:rPr>
          <w:rFonts w:ascii="Times New Roman" w:hAnsi="Times New Roman"/>
          <w:b/>
          <w:sz w:val="24"/>
        </w:rPr>
        <w:t xml:space="preserve">Le marché a pour </w:t>
      </w:r>
      <w:proofErr w:type="gramStart"/>
      <w:r>
        <w:rPr>
          <w:rFonts w:ascii="Times New Roman" w:hAnsi="Times New Roman"/>
          <w:b/>
          <w:sz w:val="24"/>
        </w:rPr>
        <w:t>objet:</w:t>
      </w:r>
      <w:proofErr w:type="gramEnd"/>
    </w:p>
    <w:p w14:paraId="386E5A73" w14:textId="751314ED" w:rsidR="00A13EB8" w:rsidRPr="0043240C" w:rsidRDefault="00A13EB8" w:rsidP="00B5440B">
      <w:pPr>
        <w:spacing w:before="0"/>
        <w:jc w:val="both"/>
        <w:rPr>
          <w:rFonts w:ascii="Times New Roman" w:hAnsi="Times New Roman"/>
          <w:sz w:val="22"/>
        </w:rPr>
      </w:pPr>
      <w:r>
        <w:rPr>
          <w:rFonts w:ascii="Times New Roman" w:hAnsi="Times New Roman"/>
          <w:sz w:val="22"/>
        </w:rPr>
        <w:t>[</w:t>
      </w:r>
      <w:proofErr w:type="gramStart"/>
      <w:r>
        <w:rPr>
          <w:rFonts w:ascii="Times New Roman" w:hAnsi="Times New Roman"/>
          <w:sz w:val="22"/>
          <w:highlight w:val="lightGray"/>
        </w:rPr>
        <w:t>la</w:t>
      </w:r>
      <w:proofErr w:type="gramEnd"/>
      <w:r>
        <w:rPr>
          <w:rFonts w:ascii="Times New Roman" w:hAnsi="Times New Roman"/>
          <w:sz w:val="22"/>
          <w:highlight w:val="lightGray"/>
        </w:rPr>
        <w:t xml:space="preserve"> fourniture</w:t>
      </w:r>
      <w:r>
        <w:rPr>
          <w:rFonts w:ascii="Times New Roman" w:hAnsi="Times New Roman"/>
          <w:sz w:val="22"/>
        </w:rPr>
        <w:t>], [</w:t>
      </w:r>
      <w:r>
        <w:rPr>
          <w:rFonts w:ascii="Times New Roman" w:hAnsi="Times New Roman"/>
          <w:sz w:val="22"/>
          <w:highlight w:val="lightGray"/>
        </w:rPr>
        <w:t>la livraison</w:t>
      </w:r>
      <w:r>
        <w:rPr>
          <w:rFonts w:ascii="Times New Roman" w:hAnsi="Times New Roman"/>
          <w:sz w:val="22"/>
        </w:rPr>
        <w:t>], [</w:t>
      </w:r>
      <w:r>
        <w:rPr>
          <w:rFonts w:ascii="Times New Roman" w:hAnsi="Times New Roman"/>
          <w:sz w:val="22"/>
          <w:highlight w:val="lightGray"/>
        </w:rPr>
        <w:t>le déchargement</w:t>
      </w:r>
      <w:r>
        <w:rPr>
          <w:rFonts w:ascii="Times New Roman" w:hAnsi="Times New Roman"/>
          <w:sz w:val="22"/>
        </w:rPr>
        <w:t>], [</w:t>
      </w:r>
      <w:r>
        <w:rPr>
          <w:rFonts w:ascii="Times New Roman" w:hAnsi="Times New Roman"/>
          <w:sz w:val="22"/>
          <w:highlight w:val="lightGray"/>
        </w:rPr>
        <w:t>la pose et le montage</w:t>
      </w:r>
      <w:r>
        <w:rPr>
          <w:rFonts w:ascii="Times New Roman" w:hAnsi="Times New Roman"/>
          <w:sz w:val="22"/>
        </w:rPr>
        <w:t>], [</w:t>
      </w:r>
      <w:r>
        <w:rPr>
          <w:rFonts w:ascii="Times New Roman" w:hAnsi="Times New Roman"/>
          <w:sz w:val="22"/>
          <w:highlight w:val="lightGray"/>
        </w:rPr>
        <w:t>la mise en service</w:t>
      </w:r>
      <w:r>
        <w:rPr>
          <w:rFonts w:ascii="Times New Roman" w:hAnsi="Times New Roman"/>
          <w:sz w:val="22"/>
        </w:rPr>
        <w:t xml:space="preserve">], </w:t>
      </w:r>
    </w:p>
    <w:p w14:paraId="7C90C31E" w14:textId="7F79B4AB" w:rsidR="00A13EB8" w:rsidRPr="0043240C" w:rsidRDefault="00A13EB8" w:rsidP="00B5440B">
      <w:pPr>
        <w:spacing w:before="0"/>
        <w:jc w:val="both"/>
        <w:rPr>
          <w:rFonts w:ascii="Times New Roman" w:hAnsi="Times New Roman"/>
          <w:sz w:val="22"/>
        </w:rPr>
      </w:pPr>
      <w:r>
        <w:rPr>
          <w:rFonts w:ascii="Times New Roman" w:hAnsi="Times New Roman"/>
          <w:sz w:val="22"/>
        </w:rPr>
        <w:t xml:space="preserve"> &lt;</w:t>
      </w:r>
      <w:proofErr w:type="gramStart"/>
      <w:r>
        <w:rPr>
          <w:rFonts w:ascii="Times New Roman" w:hAnsi="Times New Roman"/>
          <w:sz w:val="22"/>
          <w:highlight w:val="yellow"/>
        </w:rPr>
        <w:t>et</w:t>
      </w:r>
      <w:proofErr w:type="gramEnd"/>
      <w:r>
        <w:rPr>
          <w:rFonts w:ascii="Times New Roman" w:hAnsi="Times New Roman"/>
          <w:sz w:val="22"/>
          <w:highlight w:val="yellow"/>
        </w:rPr>
        <w:t xml:space="preserve"> les autres tâches spécifiquement requises par le marché. Ces tâches nécessiteront une approbation préalable en cas de sous-traitance:</w:t>
      </w:r>
      <w:r>
        <w:rPr>
          <w:rFonts w:ascii="Times New Roman" w:hAnsi="Times New Roman"/>
          <w:sz w:val="22"/>
        </w:rPr>
        <w:t xml:space="preserve">&gt; </w:t>
      </w:r>
      <w:r>
        <w:rPr>
          <w:rFonts w:ascii="Times New Roman" w:hAnsi="Times New Roman"/>
          <w:sz w:val="22"/>
          <w:highlight w:val="lightGray"/>
        </w:rPr>
        <w:t>[la conception]</w:t>
      </w:r>
      <w:r>
        <w:rPr>
          <w:rFonts w:ascii="Times New Roman" w:hAnsi="Times New Roman"/>
          <w:sz w:val="22"/>
        </w:rPr>
        <w:t xml:space="preserve"> [</w:t>
      </w:r>
      <w:r>
        <w:rPr>
          <w:rFonts w:ascii="Times New Roman" w:hAnsi="Times New Roman"/>
          <w:sz w:val="22"/>
          <w:highlight w:val="lightGray"/>
        </w:rPr>
        <w:t>la fabrication</w:t>
      </w:r>
      <w:r>
        <w:rPr>
          <w:rFonts w:ascii="Times New Roman" w:hAnsi="Times New Roman"/>
          <w:sz w:val="22"/>
        </w:rPr>
        <w:t>] [</w:t>
      </w:r>
      <w:r>
        <w:rPr>
          <w:rFonts w:ascii="Times New Roman" w:hAnsi="Times New Roman"/>
          <w:sz w:val="22"/>
          <w:highlight w:val="lightGray"/>
        </w:rPr>
        <w:t>l’entretien</w:t>
      </w:r>
      <w:r>
        <w:rPr>
          <w:rFonts w:ascii="Times New Roman" w:hAnsi="Times New Roman"/>
          <w:sz w:val="22"/>
        </w:rPr>
        <w:t>], [</w:t>
      </w:r>
      <w:r>
        <w:rPr>
          <w:rFonts w:ascii="Times New Roman" w:hAnsi="Times New Roman"/>
          <w:sz w:val="22"/>
          <w:highlight w:val="lightGray"/>
        </w:rPr>
        <w:t>le service après-vente</w:t>
      </w:r>
      <w:r>
        <w:rPr>
          <w:rFonts w:ascii="Times New Roman" w:hAnsi="Times New Roman"/>
          <w:sz w:val="22"/>
        </w:rPr>
        <w:t>], [</w:t>
      </w:r>
      <w:r>
        <w:rPr>
          <w:rFonts w:ascii="Times New Roman" w:hAnsi="Times New Roman"/>
          <w:sz w:val="22"/>
          <w:highlight w:val="lightGray"/>
        </w:rPr>
        <w:t>etc.</w:t>
      </w:r>
      <w:r>
        <w:rPr>
          <w:rFonts w:ascii="Times New Roman" w:hAnsi="Times New Roman"/>
          <w:sz w:val="22"/>
        </w:rPr>
        <w:t>],</w:t>
      </w:r>
    </w:p>
    <w:p w14:paraId="589A51D4" w14:textId="7816B33E" w:rsidR="00A13EB8" w:rsidRPr="0043240C" w:rsidRDefault="00A13EB8" w:rsidP="00B5440B">
      <w:pPr>
        <w:spacing w:before="0"/>
        <w:jc w:val="both"/>
        <w:rPr>
          <w:rFonts w:ascii="Times New Roman" w:hAnsi="Times New Roman"/>
          <w:sz w:val="22"/>
        </w:rPr>
      </w:pPr>
      <w:proofErr w:type="gramStart"/>
      <w:r>
        <w:rPr>
          <w:rFonts w:ascii="Times New Roman" w:hAnsi="Times New Roman"/>
          <w:sz w:val="22"/>
        </w:rPr>
        <w:t>des</w:t>
      </w:r>
      <w:proofErr w:type="gramEnd"/>
      <w:r>
        <w:rPr>
          <w:rFonts w:ascii="Times New Roman" w:hAnsi="Times New Roman"/>
          <w:sz w:val="22"/>
        </w:rPr>
        <w:t xml:space="preserve"> fournitures suivantes:</w:t>
      </w:r>
    </w:p>
    <w:p w14:paraId="33421CA4" w14:textId="77777777" w:rsidR="00A13EB8" w:rsidRPr="0043240C" w:rsidRDefault="00A13EB8" w:rsidP="00B5440B">
      <w:pPr>
        <w:spacing w:before="0"/>
        <w:jc w:val="both"/>
        <w:rPr>
          <w:rFonts w:ascii="Times New Roman" w:hAnsi="Times New Roman"/>
          <w:sz w:val="22"/>
        </w:rPr>
      </w:pPr>
      <w:r>
        <w:rPr>
          <w:rFonts w:ascii="Times New Roman" w:hAnsi="Times New Roman"/>
          <w:sz w:val="22"/>
        </w:rPr>
        <w:t>&lt;</w:t>
      </w:r>
      <w:proofErr w:type="gramStart"/>
      <w:r>
        <w:rPr>
          <w:rFonts w:ascii="Times New Roman" w:hAnsi="Times New Roman"/>
          <w:sz w:val="22"/>
          <w:highlight w:val="yellow"/>
        </w:rPr>
        <w:t>description</w:t>
      </w:r>
      <w:proofErr w:type="gramEnd"/>
      <w:r>
        <w:rPr>
          <w:rFonts w:ascii="Times New Roman" w:hAnsi="Times New Roman"/>
          <w:sz w:val="22"/>
          <w:highlight w:val="yellow"/>
        </w:rPr>
        <w:t xml:space="preserve"> générale des fournitures, y compris les quantités</w:t>
      </w:r>
      <w:r>
        <w:rPr>
          <w:rFonts w:ascii="Times New Roman" w:hAnsi="Times New Roman"/>
          <w:sz w:val="22"/>
        </w:rPr>
        <w:t xml:space="preserve">&gt; [ </w:t>
      </w:r>
      <w:r>
        <w:rPr>
          <w:rFonts w:ascii="Times New Roman" w:hAnsi="Times New Roman"/>
          <w:sz w:val="22"/>
          <w:highlight w:val="lightGray"/>
        </w:rPr>
        <w:t>en &lt;</w:t>
      </w:r>
      <w:r>
        <w:rPr>
          <w:rFonts w:ascii="Times New Roman" w:hAnsi="Times New Roman"/>
          <w:sz w:val="22"/>
          <w:highlight w:val="yellow"/>
        </w:rPr>
        <w:t>insérer nombre</w:t>
      </w:r>
      <w:r>
        <w:rPr>
          <w:rFonts w:ascii="Times New Roman" w:hAnsi="Times New Roman"/>
          <w:sz w:val="22"/>
          <w:highlight w:val="lightGray"/>
        </w:rPr>
        <w:t>&gt; lot[s]</w:t>
      </w:r>
      <w:r>
        <w:rPr>
          <w:rFonts w:ascii="Times New Roman" w:hAnsi="Times New Roman"/>
          <w:sz w:val="22"/>
        </w:rPr>
        <w:t>]</w:t>
      </w:r>
    </w:p>
    <w:p w14:paraId="0A518544" w14:textId="77777777" w:rsidR="00A13EB8" w:rsidRPr="00A13EB8" w:rsidRDefault="00A13EB8" w:rsidP="00B5440B">
      <w:pPr>
        <w:tabs>
          <w:tab w:val="left" w:pos="709"/>
          <w:tab w:val="left" w:pos="993"/>
        </w:tabs>
        <w:spacing w:before="0"/>
        <w:ind w:left="426"/>
        <w:jc w:val="both"/>
        <w:rPr>
          <w:rFonts w:ascii="Times New Roman" w:hAnsi="Times New Roman"/>
          <w:b/>
          <w:sz w:val="22"/>
          <w:highlight w:val="lightGray"/>
        </w:rPr>
      </w:pPr>
      <w:r>
        <w:rPr>
          <w:rFonts w:ascii="Times New Roman" w:hAnsi="Times New Roman"/>
          <w:sz w:val="22"/>
          <w:highlight w:val="lightGray"/>
        </w:rPr>
        <w:t>[</w:t>
      </w:r>
      <w:proofErr w:type="gramStart"/>
      <w:r>
        <w:rPr>
          <w:rFonts w:ascii="Times New Roman" w:hAnsi="Times New Roman"/>
          <w:sz w:val="22"/>
          <w:highlight w:val="lightGray"/>
        </w:rPr>
        <w:t>lot</w:t>
      </w:r>
      <w:proofErr w:type="gramEnd"/>
      <w:r>
        <w:rPr>
          <w:rFonts w:ascii="Times New Roman" w:hAnsi="Times New Roman"/>
          <w:sz w:val="22"/>
          <w:highlight w:val="lightGray"/>
        </w:rPr>
        <w:t xml:space="preserve"> nº 1: &lt;</w:t>
      </w:r>
      <w:r>
        <w:rPr>
          <w:rFonts w:ascii="Times New Roman" w:hAnsi="Times New Roman"/>
          <w:sz w:val="22"/>
          <w:highlight w:val="yellow"/>
        </w:rPr>
        <w:t>description générale avec indication des quantités</w:t>
      </w:r>
      <w:r>
        <w:rPr>
          <w:rFonts w:ascii="Times New Roman" w:hAnsi="Times New Roman"/>
          <w:sz w:val="22"/>
          <w:highlight w:val="lightGray"/>
        </w:rPr>
        <w:t>&gt;]</w:t>
      </w:r>
    </w:p>
    <w:p w14:paraId="74723254" w14:textId="77777777" w:rsidR="00A13EB8" w:rsidRPr="00A13EB8" w:rsidRDefault="00A13EB8" w:rsidP="00B5440B">
      <w:pPr>
        <w:tabs>
          <w:tab w:val="left" w:pos="709"/>
          <w:tab w:val="left" w:pos="993"/>
          <w:tab w:val="left" w:pos="1276"/>
        </w:tabs>
        <w:spacing w:before="0"/>
        <w:ind w:left="426"/>
        <w:jc w:val="both"/>
        <w:rPr>
          <w:rFonts w:ascii="Times New Roman" w:hAnsi="Times New Roman"/>
          <w:b/>
          <w:sz w:val="22"/>
          <w:highlight w:val="lightGray"/>
        </w:rPr>
      </w:pPr>
      <w:r>
        <w:rPr>
          <w:rFonts w:ascii="Times New Roman" w:hAnsi="Times New Roman"/>
          <w:sz w:val="22"/>
          <w:highlight w:val="lightGray"/>
        </w:rPr>
        <w:t>[</w:t>
      </w:r>
      <w:proofErr w:type="gramStart"/>
      <w:r>
        <w:rPr>
          <w:rFonts w:ascii="Times New Roman" w:hAnsi="Times New Roman"/>
          <w:sz w:val="22"/>
          <w:highlight w:val="lightGray"/>
        </w:rPr>
        <w:t>lot</w:t>
      </w:r>
      <w:proofErr w:type="gramEnd"/>
      <w:r>
        <w:rPr>
          <w:rFonts w:ascii="Times New Roman" w:hAnsi="Times New Roman"/>
          <w:sz w:val="22"/>
          <w:highlight w:val="lightGray"/>
        </w:rPr>
        <w:t xml:space="preserve"> nº 2: &lt;</w:t>
      </w:r>
      <w:r>
        <w:rPr>
          <w:rFonts w:ascii="Times New Roman" w:hAnsi="Times New Roman"/>
          <w:sz w:val="22"/>
          <w:highlight w:val="yellow"/>
        </w:rPr>
        <w:t>description générale avec indication des quantités</w:t>
      </w:r>
      <w:r>
        <w:rPr>
          <w:rFonts w:ascii="Times New Roman" w:hAnsi="Times New Roman"/>
          <w:sz w:val="22"/>
          <w:highlight w:val="lightGray"/>
        </w:rPr>
        <w:t>&gt;]</w:t>
      </w:r>
    </w:p>
    <w:p w14:paraId="5C01BC4C" w14:textId="77777777" w:rsidR="00A13EB8" w:rsidRPr="0043240C" w:rsidRDefault="00A13EB8" w:rsidP="00B5440B">
      <w:pPr>
        <w:tabs>
          <w:tab w:val="left" w:pos="709"/>
          <w:tab w:val="left" w:pos="993"/>
        </w:tabs>
        <w:spacing w:before="0"/>
        <w:ind w:left="426"/>
        <w:jc w:val="both"/>
        <w:rPr>
          <w:rFonts w:ascii="Times New Roman" w:hAnsi="Times New Roman"/>
          <w:sz w:val="22"/>
        </w:rPr>
      </w:pPr>
      <w:r>
        <w:rPr>
          <w:rFonts w:ascii="Times New Roman" w:hAnsi="Times New Roman"/>
          <w:sz w:val="22"/>
          <w:highlight w:val="lightGray"/>
        </w:rPr>
        <w:t>[</w:t>
      </w:r>
      <w:proofErr w:type="gramStart"/>
      <w:r>
        <w:rPr>
          <w:rFonts w:ascii="Times New Roman" w:hAnsi="Times New Roman"/>
          <w:sz w:val="22"/>
          <w:highlight w:val="lightGray"/>
        </w:rPr>
        <w:t>lot</w:t>
      </w:r>
      <w:proofErr w:type="gramEnd"/>
      <w:r>
        <w:rPr>
          <w:rFonts w:ascii="Times New Roman" w:hAnsi="Times New Roman"/>
          <w:sz w:val="22"/>
          <w:highlight w:val="lightGray"/>
        </w:rPr>
        <w:t xml:space="preserve"> nº &lt;</w:t>
      </w:r>
      <w:r>
        <w:rPr>
          <w:rFonts w:ascii="Times New Roman" w:hAnsi="Times New Roman"/>
          <w:sz w:val="22"/>
          <w:highlight w:val="yellow"/>
        </w:rPr>
        <w:t>…</w:t>
      </w:r>
      <w:r>
        <w:rPr>
          <w:rFonts w:ascii="Times New Roman" w:hAnsi="Times New Roman"/>
          <w:sz w:val="22"/>
          <w:highlight w:val="lightGray"/>
        </w:rPr>
        <w:t>&gt;]</w:t>
      </w:r>
    </w:p>
    <w:p w14:paraId="46072CA1" w14:textId="264F1AA0" w:rsidR="00C05EBE" w:rsidRPr="00C05EBE" w:rsidRDefault="00C05EBE" w:rsidP="00B5440B">
      <w:pPr>
        <w:spacing w:before="240"/>
        <w:outlineLvl w:val="0"/>
        <w:rPr>
          <w:rFonts w:ascii="Times New Roman" w:hAnsi="Times New Roman"/>
          <w:b/>
          <w:sz w:val="24"/>
          <w:szCs w:val="24"/>
        </w:rPr>
      </w:pPr>
      <w:bookmarkStart w:id="5" w:name="_Hlk132980677"/>
      <w:r>
        <w:rPr>
          <w:rFonts w:ascii="Times New Roman" w:hAnsi="Times New Roman"/>
          <w:b/>
          <w:sz w:val="24"/>
        </w:rPr>
        <w:t>Ordre hiérarchique des documents contractuels</w:t>
      </w:r>
    </w:p>
    <w:bookmarkEnd w:id="5"/>
    <w:p w14:paraId="7E8DCE3F" w14:textId="77777777" w:rsidR="00556F39" w:rsidRPr="00556F39" w:rsidRDefault="00556F39" w:rsidP="00B5440B">
      <w:pPr>
        <w:spacing w:before="0"/>
        <w:rPr>
          <w:rFonts w:ascii="Times New Roman" w:hAnsi="Times New Roman"/>
          <w:sz w:val="22"/>
          <w:szCs w:val="22"/>
        </w:rPr>
      </w:pPr>
      <w:r>
        <w:rPr>
          <w:rFonts w:ascii="Times New Roman" w:hAnsi="Times New Roman"/>
          <w:sz w:val="22"/>
        </w:rPr>
        <w:t xml:space="preserve">Les documents suivants seront considérés, lus et interprétés comme faisant partie intégrante du présent marché dans l’ordre hiérarchique </w:t>
      </w:r>
      <w:proofErr w:type="gramStart"/>
      <w:r>
        <w:rPr>
          <w:rFonts w:ascii="Times New Roman" w:hAnsi="Times New Roman"/>
          <w:sz w:val="22"/>
        </w:rPr>
        <w:t>suivant:</w:t>
      </w:r>
      <w:proofErr w:type="gramEnd"/>
    </w:p>
    <w:p w14:paraId="0F320CA8" w14:textId="08CC7185" w:rsidR="00C05EBE" w:rsidRPr="00C05EBE" w:rsidRDefault="00C05EBE" w:rsidP="00B5440B">
      <w:pPr>
        <w:numPr>
          <w:ilvl w:val="0"/>
          <w:numId w:val="1"/>
        </w:numPr>
        <w:tabs>
          <w:tab w:val="clear" w:pos="360"/>
        </w:tabs>
        <w:spacing w:before="0" w:after="80"/>
        <w:ind w:left="709" w:hanging="425"/>
        <w:jc w:val="both"/>
        <w:rPr>
          <w:rFonts w:ascii="Times New Roman" w:hAnsi="Times New Roman"/>
          <w:sz w:val="22"/>
        </w:rPr>
      </w:pPr>
      <w:proofErr w:type="gramStart"/>
      <w:r>
        <w:rPr>
          <w:rFonts w:ascii="Times New Roman" w:hAnsi="Times New Roman"/>
          <w:sz w:val="22"/>
        </w:rPr>
        <w:t>les</w:t>
      </w:r>
      <w:proofErr w:type="gramEnd"/>
      <w:r>
        <w:rPr>
          <w:rFonts w:ascii="Times New Roman" w:hAnsi="Times New Roman"/>
          <w:sz w:val="22"/>
        </w:rPr>
        <w:t xml:space="preserve"> conditions principales;</w:t>
      </w:r>
    </w:p>
    <w:p w14:paraId="0E1C4A4C" w14:textId="282403D2" w:rsidR="00C05EBE" w:rsidRPr="00C05EBE" w:rsidRDefault="00C05EBE" w:rsidP="00B5440B">
      <w:pPr>
        <w:numPr>
          <w:ilvl w:val="0"/>
          <w:numId w:val="1"/>
        </w:numPr>
        <w:tabs>
          <w:tab w:val="clear" w:pos="360"/>
        </w:tabs>
        <w:spacing w:before="0" w:after="80"/>
        <w:ind w:left="709" w:hanging="425"/>
        <w:jc w:val="both"/>
        <w:rPr>
          <w:rFonts w:ascii="Times New Roman" w:hAnsi="Times New Roman"/>
          <w:sz w:val="22"/>
        </w:rPr>
      </w:pPr>
      <w:proofErr w:type="gramStart"/>
      <w:r>
        <w:rPr>
          <w:rFonts w:ascii="Times New Roman" w:hAnsi="Times New Roman"/>
          <w:sz w:val="22"/>
        </w:rPr>
        <w:t>les</w:t>
      </w:r>
      <w:proofErr w:type="gramEnd"/>
      <w:r>
        <w:rPr>
          <w:rFonts w:ascii="Times New Roman" w:hAnsi="Times New Roman"/>
          <w:sz w:val="22"/>
        </w:rPr>
        <w:t xml:space="preserve"> conditions particulières;</w:t>
      </w:r>
    </w:p>
    <w:p w14:paraId="6E5B011A" w14:textId="77777777" w:rsidR="00C05EBE" w:rsidRPr="00C05EBE" w:rsidRDefault="00C05EBE" w:rsidP="00B5440B">
      <w:pPr>
        <w:numPr>
          <w:ilvl w:val="0"/>
          <w:numId w:val="1"/>
        </w:numPr>
        <w:tabs>
          <w:tab w:val="clear" w:pos="360"/>
        </w:tabs>
        <w:spacing w:before="0" w:after="80"/>
        <w:ind w:left="709" w:hanging="425"/>
        <w:jc w:val="both"/>
        <w:rPr>
          <w:rFonts w:ascii="Times New Roman" w:hAnsi="Times New Roman"/>
          <w:sz w:val="22"/>
        </w:rPr>
      </w:pPr>
      <w:proofErr w:type="gramStart"/>
      <w:r>
        <w:rPr>
          <w:rFonts w:ascii="Times New Roman" w:hAnsi="Times New Roman"/>
          <w:sz w:val="22"/>
        </w:rPr>
        <w:t>les</w:t>
      </w:r>
      <w:proofErr w:type="gramEnd"/>
      <w:r>
        <w:rPr>
          <w:rFonts w:ascii="Times New Roman" w:hAnsi="Times New Roman"/>
          <w:sz w:val="22"/>
        </w:rPr>
        <w:t xml:space="preserve"> conditions générales (annexe I);</w:t>
      </w:r>
    </w:p>
    <w:p w14:paraId="0F153351" w14:textId="77777777" w:rsidR="00D14292" w:rsidRPr="00D14292" w:rsidRDefault="00D14292" w:rsidP="00B5440B">
      <w:pPr>
        <w:numPr>
          <w:ilvl w:val="0"/>
          <w:numId w:val="1"/>
        </w:numPr>
        <w:tabs>
          <w:tab w:val="clear" w:pos="360"/>
        </w:tabs>
        <w:spacing w:before="0" w:after="80"/>
        <w:ind w:left="709" w:hanging="425"/>
        <w:jc w:val="both"/>
        <w:rPr>
          <w:rFonts w:ascii="Times New Roman" w:hAnsi="Times New Roman"/>
          <w:sz w:val="22"/>
          <w:szCs w:val="22"/>
        </w:rPr>
      </w:pPr>
      <w:r>
        <w:rPr>
          <w:rFonts w:ascii="Times New Roman" w:hAnsi="Times New Roman"/>
          <w:sz w:val="22"/>
          <w:highlight w:val="yellow"/>
        </w:rPr>
        <w:t xml:space="preserve">[Uniquement pour les marchés financés par des instruments postérieurs à 2021 (IVCDCI, IAP III [uniquement lorsque les règles de procédure du PRAG sont choisies dans les </w:t>
      </w:r>
      <w:r>
        <w:rPr>
          <w:rFonts w:ascii="Times New Roman" w:hAnsi="Times New Roman"/>
          <w:sz w:val="22"/>
          <w:highlight w:val="yellow"/>
        </w:rPr>
        <w:lastRenderedPageBreak/>
        <w:t>conditions particulières], etc.</w:t>
      </w:r>
      <w:proofErr w:type="gramStart"/>
      <w:r>
        <w:rPr>
          <w:rFonts w:ascii="Times New Roman" w:hAnsi="Times New Roman"/>
          <w:sz w:val="22"/>
          <w:highlight w:val="yellow"/>
        </w:rPr>
        <w:t>):</w:t>
      </w:r>
      <w:proofErr w:type="gramEnd"/>
      <w:r>
        <w:rPr>
          <w:rFonts w:ascii="Times New Roman" w:hAnsi="Times New Roman"/>
          <w:sz w:val="22"/>
        </w:rPr>
        <w:t xml:space="preserve"> </w:t>
      </w:r>
      <w:r>
        <w:rPr>
          <w:rFonts w:ascii="Times New Roman" w:hAnsi="Times New Roman"/>
          <w:sz w:val="22"/>
          <w:highlight w:val="lightGray"/>
        </w:rPr>
        <w:t>applicable uniquement si le marché est transnational: le règlement de procédure de conciliation et d’arbitrage du PRAG</w:t>
      </w:r>
      <w:r>
        <w:rPr>
          <w:rFonts w:ascii="Times New Roman" w:hAnsi="Times New Roman"/>
          <w:sz w:val="22"/>
        </w:rPr>
        <w:t>.</w:t>
      </w:r>
      <w:r>
        <w:rPr>
          <w:rFonts w:ascii="Times New Roman" w:hAnsi="Times New Roman"/>
          <w:sz w:val="22"/>
          <w:highlight w:val="yellow"/>
        </w:rPr>
        <w:t>]</w:t>
      </w:r>
    </w:p>
    <w:p w14:paraId="344624D4" w14:textId="2C0D236F" w:rsidR="00C05EBE" w:rsidRPr="00C05EBE" w:rsidRDefault="00C05EBE" w:rsidP="00B5440B">
      <w:pPr>
        <w:numPr>
          <w:ilvl w:val="0"/>
          <w:numId w:val="1"/>
        </w:numPr>
        <w:tabs>
          <w:tab w:val="clear" w:pos="360"/>
        </w:tabs>
        <w:spacing w:before="0" w:after="80"/>
        <w:ind w:left="709" w:hanging="425"/>
        <w:jc w:val="both"/>
        <w:rPr>
          <w:rFonts w:ascii="Times New Roman" w:hAnsi="Times New Roman"/>
          <w:sz w:val="22"/>
        </w:rPr>
      </w:pPr>
      <w:proofErr w:type="gramStart"/>
      <w:r>
        <w:rPr>
          <w:rFonts w:ascii="Times New Roman" w:hAnsi="Times New Roman"/>
          <w:sz w:val="22"/>
        </w:rPr>
        <w:t>les</w:t>
      </w:r>
      <w:proofErr w:type="gramEnd"/>
      <w:r>
        <w:rPr>
          <w:rFonts w:ascii="Times New Roman" w:hAnsi="Times New Roman"/>
          <w:sz w:val="22"/>
        </w:rPr>
        <w:t xml:space="preserve"> spécifications techniques (annexe II) [incluant les clarifications demandées avant la date limite de soumission des offres et les comptes rendus des réunions d’information ou de la visite du site];</w:t>
      </w:r>
    </w:p>
    <w:p w14:paraId="01FF9F87" w14:textId="77777777" w:rsidR="00C05EBE" w:rsidRPr="00C05EBE" w:rsidRDefault="00C05EBE" w:rsidP="00B5440B">
      <w:pPr>
        <w:numPr>
          <w:ilvl w:val="0"/>
          <w:numId w:val="1"/>
        </w:numPr>
        <w:tabs>
          <w:tab w:val="clear" w:pos="360"/>
        </w:tabs>
        <w:spacing w:before="0" w:after="80"/>
        <w:ind w:left="709" w:hanging="425"/>
        <w:jc w:val="both"/>
        <w:rPr>
          <w:rFonts w:ascii="Times New Roman" w:hAnsi="Times New Roman"/>
          <w:sz w:val="22"/>
        </w:rPr>
      </w:pPr>
      <w:proofErr w:type="gramStart"/>
      <w:r>
        <w:rPr>
          <w:rFonts w:ascii="Times New Roman" w:hAnsi="Times New Roman"/>
          <w:sz w:val="22"/>
        </w:rPr>
        <w:t>l’offre</w:t>
      </w:r>
      <w:proofErr w:type="gramEnd"/>
      <w:r>
        <w:rPr>
          <w:rFonts w:ascii="Times New Roman" w:hAnsi="Times New Roman"/>
          <w:sz w:val="22"/>
        </w:rPr>
        <w:t xml:space="preserve"> technique (annexe III) [</w:t>
      </w:r>
      <w:r>
        <w:rPr>
          <w:rFonts w:ascii="Times New Roman" w:hAnsi="Times New Roman"/>
          <w:sz w:val="22"/>
          <w:highlight w:val="lightGray"/>
        </w:rPr>
        <w:t>incluant les clarifications faites par le soumissionnaire pendant la procédure d’évaluation des offres];</w:t>
      </w:r>
    </w:p>
    <w:p w14:paraId="4697AE99" w14:textId="77777777" w:rsidR="00C05EBE" w:rsidRPr="00C05EBE" w:rsidRDefault="00C05EBE" w:rsidP="00B5440B">
      <w:pPr>
        <w:numPr>
          <w:ilvl w:val="0"/>
          <w:numId w:val="1"/>
        </w:numPr>
        <w:tabs>
          <w:tab w:val="clear" w:pos="360"/>
        </w:tabs>
        <w:spacing w:before="0" w:after="80"/>
        <w:ind w:left="709" w:hanging="425"/>
        <w:jc w:val="both"/>
        <w:rPr>
          <w:rFonts w:ascii="Times New Roman" w:hAnsi="Times New Roman"/>
          <w:sz w:val="22"/>
        </w:rPr>
      </w:pPr>
      <w:proofErr w:type="gramStart"/>
      <w:r>
        <w:rPr>
          <w:rFonts w:ascii="Times New Roman" w:hAnsi="Times New Roman"/>
          <w:sz w:val="22"/>
        </w:rPr>
        <w:t>le</w:t>
      </w:r>
      <w:proofErr w:type="gramEnd"/>
      <w:r>
        <w:rPr>
          <w:rFonts w:ascii="Times New Roman" w:hAnsi="Times New Roman"/>
          <w:sz w:val="22"/>
        </w:rPr>
        <w:t xml:space="preserve"> budget ventilé (annexe IV);</w:t>
      </w:r>
    </w:p>
    <w:p w14:paraId="4411F209" w14:textId="77777777" w:rsidR="00C05EBE" w:rsidRPr="00C05EBE" w:rsidRDefault="00C05EBE" w:rsidP="00B5440B">
      <w:pPr>
        <w:numPr>
          <w:ilvl w:val="0"/>
          <w:numId w:val="1"/>
        </w:numPr>
        <w:tabs>
          <w:tab w:val="clear" w:pos="360"/>
        </w:tabs>
        <w:spacing w:before="0" w:after="240"/>
        <w:ind w:left="709" w:hanging="425"/>
        <w:jc w:val="both"/>
        <w:rPr>
          <w:rFonts w:ascii="Times New Roman" w:hAnsi="Times New Roman"/>
          <w:sz w:val="22"/>
        </w:rPr>
      </w:pPr>
      <w:r>
        <w:rPr>
          <w:rFonts w:ascii="Times New Roman" w:hAnsi="Times New Roman"/>
          <w:sz w:val="22"/>
        </w:rPr>
        <w:t>[</w:t>
      </w:r>
      <w:proofErr w:type="gramStart"/>
      <w:r>
        <w:rPr>
          <w:rFonts w:ascii="Times New Roman" w:hAnsi="Times New Roman"/>
          <w:sz w:val="22"/>
          <w:highlight w:val="lightGray"/>
        </w:rPr>
        <w:t>les</w:t>
      </w:r>
      <w:proofErr w:type="gramEnd"/>
      <w:r>
        <w:rPr>
          <w:rFonts w:ascii="Times New Roman" w:hAnsi="Times New Roman"/>
          <w:sz w:val="22"/>
          <w:highlight w:val="lightGray"/>
        </w:rPr>
        <w:t xml:space="preserve"> formulaires spécifiques et autres documents pertinents (annexe V)</w:t>
      </w:r>
      <w:r>
        <w:rPr>
          <w:rFonts w:ascii="Times New Roman" w:hAnsi="Times New Roman"/>
          <w:sz w:val="22"/>
        </w:rPr>
        <w:t>].</w:t>
      </w:r>
    </w:p>
    <w:p w14:paraId="06DC3A15" w14:textId="77777777" w:rsidR="00556F39" w:rsidRPr="00556F39" w:rsidRDefault="00C05EBE" w:rsidP="00B5440B">
      <w:pPr>
        <w:spacing w:before="0" w:after="240"/>
        <w:jc w:val="both"/>
        <w:rPr>
          <w:rFonts w:ascii="Times New Roman" w:hAnsi="Times New Roman"/>
          <w:b/>
          <w:bCs/>
          <w:sz w:val="22"/>
          <w:szCs w:val="22"/>
        </w:rPr>
      </w:pPr>
      <w:r>
        <w:rPr>
          <w:rFonts w:ascii="Times New Roman" w:hAnsi="Times New Roman"/>
          <w:b/>
          <w:sz w:val="22"/>
        </w:rPr>
        <w:t xml:space="preserve">Les différents documents constituant le marché doivent être considérés comme mutuellement </w:t>
      </w:r>
      <w:proofErr w:type="gramStart"/>
      <w:r>
        <w:rPr>
          <w:rFonts w:ascii="Times New Roman" w:hAnsi="Times New Roman"/>
          <w:b/>
          <w:sz w:val="22"/>
        </w:rPr>
        <w:t>explicites;</w:t>
      </w:r>
      <w:proofErr w:type="gramEnd"/>
      <w:r>
        <w:rPr>
          <w:rFonts w:ascii="Times New Roman" w:hAnsi="Times New Roman"/>
          <w:b/>
          <w:sz w:val="22"/>
        </w:rPr>
        <w:t xml:space="preserve"> en cas d’ambiguïtés ou de divergences, ces documents seront appliqués selon l’ordre hiérarchique ci-dessus. Les avenants suivent l’ordre hiérarchique du document qu’ils modifient. </w:t>
      </w:r>
    </w:p>
    <w:p w14:paraId="66E2A106" w14:textId="0BC202BA" w:rsidR="0047783A" w:rsidRPr="003D6B6C" w:rsidRDefault="0047783A" w:rsidP="00B5440B">
      <w:pPr>
        <w:spacing w:before="0"/>
        <w:ind w:left="1134" w:hanging="1134"/>
        <w:jc w:val="both"/>
        <w:rPr>
          <w:rFonts w:ascii="Times New Roman" w:hAnsi="Times New Roman"/>
          <w:b/>
          <w:sz w:val="24"/>
          <w:szCs w:val="24"/>
        </w:rPr>
      </w:pPr>
      <w:r>
        <w:rPr>
          <w:rFonts w:ascii="Times New Roman" w:hAnsi="Times New Roman"/>
          <w:b/>
          <w:sz w:val="24"/>
        </w:rPr>
        <w:t>Article 2</w:t>
      </w:r>
      <w:r>
        <w:rPr>
          <w:rFonts w:ascii="Times New Roman" w:hAnsi="Times New Roman"/>
          <w:b/>
          <w:sz w:val="24"/>
        </w:rPr>
        <w:tab/>
        <w:t>L</w:t>
      </w:r>
      <w:bookmarkEnd w:id="4"/>
      <w:r>
        <w:rPr>
          <w:rFonts w:ascii="Times New Roman" w:hAnsi="Times New Roman"/>
          <w:b/>
          <w:sz w:val="24"/>
        </w:rPr>
        <w:t>angue du marché</w:t>
      </w:r>
    </w:p>
    <w:p w14:paraId="1F484843" w14:textId="77C1C62E" w:rsidR="0047783A" w:rsidRPr="003D6B6C" w:rsidRDefault="0047783A" w:rsidP="004F7A0E">
      <w:pPr>
        <w:ind w:left="1134" w:hanging="567"/>
        <w:rPr>
          <w:rFonts w:ascii="Times New Roman" w:hAnsi="Times New Roman"/>
          <w:sz w:val="22"/>
          <w:szCs w:val="22"/>
        </w:rPr>
      </w:pPr>
      <w:r>
        <w:rPr>
          <w:rFonts w:ascii="Times New Roman" w:hAnsi="Times New Roman"/>
          <w:sz w:val="22"/>
        </w:rPr>
        <w:t>2.1</w:t>
      </w:r>
      <w:r>
        <w:rPr>
          <w:rFonts w:ascii="Times New Roman" w:hAnsi="Times New Roman"/>
          <w:sz w:val="22"/>
        </w:rPr>
        <w:tab/>
        <w:t>La langue utilisée est le français.</w:t>
      </w:r>
    </w:p>
    <w:p w14:paraId="3308F28E" w14:textId="77777777" w:rsidR="0047783A" w:rsidRPr="003D6B6C" w:rsidRDefault="0047783A" w:rsidP="00B34179">
      <w:pPr>
        <w:spacing w:before="240"/>
        <w:ind w:left="1134" w:hanging="1134"/>
        <w:jc w:val="both"/>
        <w:rPr>
          <w:rFonts w:ascii="Times New Roman" w:hAnsi="Times New Roman"/>
          <w:b/>
          <w:sz w:val="24"/>
          <w:szCs w:val="24"/>
        </w:rPr>
      </w:pPr>
      <w:bookmarkStart w:id="6" w:name="_Toc124934897"/>
      <w:r>
        <w:rPr>
          <w:rFonts w:ascii="Times New Roman" w:hAnsi="Times New Roman"/>
          <w:b/>
          <w:sz w:val="24"/>
        </w:rPr>
        <w:t>Article 4</w:t>
      </w:r>
      <w:r>
        <w:rPr>
          <w:rFonts w:ascii="Times New Roman" w:hAnsi="Times New Roman"/>
          <w:b/>
          <w:sz w:val="24"/>
        </w:rPr>
        <w:tab/>
        <w:t>Communications</w:t>
      </w:r>
      <w:bookmarkEnd w:id="6"/>
    </w:p>
    <w:p w14:paraId="3481FE5E" w14:textId="7BD3E1E0" w:rsidR="003F3783" w:rsidRPr="003F3783" w:rsidRDefault="000724EA" w:rsidP="00B5440B">
      <w:pPr>
        <w:ind w:left="1134" w:hanging="567"/>
        <w:rPr>
          <w:rFonts w:ascii="Times New Roman" w:hAnsi="Times New Roman"/>
          <w:sz w:val="22"/>
          <w:szCs w:val="22"/>
        </w:rPr>
      </w:pPr>
      <w:r>
        <w:rPr>
          <w:rFonts w:ascii="Times New Roman" w:hAnsi="Times New Roman"/>
          <w:sz w:val="22"/>
        </w:rPr>
        <w:t>4.1</w:t>
      </w:r>
      <w:r>
        <w:rPr>
          <w:rFonts w:ascii="Times New Roman" w:hAnsi="Times New Roman"/>
          <w:sz w:val="22"/>
        </w:rPr>
        <w:tab/>
      </w:r>
      <w:bookmarkStart w:id="7" w:name="_Hlk133420374"/>
      <w:r>
        <w:rPr>
          <w:rFonts w:ascii="Times New Roman" w:hAnsi="Times New Roman"/>
          <w:sz w:val="22"/>
        </w:rPr>
        <w:t>Modalités de communication</w:t>
      </w:r>
    </w:p>
    <w:p w14:paraId="7A08231A" w14:textId="0BA39A04" w:rsidR="003F3783" w:rsidRPr="003F3783" w:rsidRDefault="003F3783" w:rsidP="00B5440B">
      <w:pPr>
        <w:spacing w:before="0"/>
        <w:ind w:left="1134" w:hanging="567"/>
        <w:jc w:val="both"/>
        <w:rPr>
          <w:rFonts w:ascii="Times New Roman" w:hAnsi="Times New Roman"/>
          <w:b/>
          <w:bCs/>
          <w:sz w:val="22"/>
          <w:szCs w:val="22"/>
        </w:rPr>
      </w:pPr>
      <w:bookmarkStart w:id="8" w:name="_Hlk133420420"/>
      <w:bookmarkEnd w:id="7"/>
      <w:r>
        <w:rPr>
          <w:rFonts w:ascii="Times New Roman" w:hAnsi="Times New Roman"/>
          <w:sz w:val="22"/>
        </w:rPr>
        <w:t>4.4</w:t>
      </w:r>
      <w:r>
        <w:rPr>
          <w:rFonts w:ascii="Times New Roman" w:hAnsi="Times New Roman"/>
          <w:sz w:val="22"/>
        </w:rPr>
        <w:tab/>
        <w:t>Communication au moyen d’un système d’échange électronique</w:t>
      </w:r>
      <w:r>
        <w:rPr>
          <w:rFonts w:ascii="Times New Roman" w:hAnsi="Times New Roman"/>
          <w:b/>
          <w:sz w:val="22"/>
        </w:rPr>
        <w:t> </w:t>
      </w:r>
    </w:p>
    <w:p w14:paraId="25379D2D" w14:textId="4F33E1FF" w:rsidR="003F3783" w:rsidRPr="003F3783" w:rsidRDefault="003F3783" w:rsidP="00B5440B">
      <w:pPr>
        <w:spacing w:before="0"/>
        <w:ind w:left="1134"/>
        <w:jc w:val="both"/>
        <w:rPr>
          <w:rFonts w:ascii="Times New Roman" w:hAnsi="Times New Roman"/>
          <w:sz w:val="22"/>
          <w:szCs w:val="22"/>
        </w:rPr>
      </w:pPr>
      <w:r>
        <w:rPr>
          <w:rFonts w:ascii="Times New Roman" w:hAnsi="Times New Roman"/>
          <w:sz w:val="22"/>
        </w:rPr>
        <w:t xml:space="preserve">Le pouvoir adjudicateur et le contractant utilisent un système électronique à toutes les étapes de l’exécution du marché, y compris, notamment, pour la gestion du marché (modifications et ordres de service), l’élaboration de rapports (y compris sur les résultats) et les paiements. Le contractant est tenu de s’inscrire sur le système d’échange électronique approprié et d’en faire usage pour assurer la gestion électronique du marché. </w:t>
      </w:r>
    </w:p>
    <w:p w14:paraId="397E2EA6" w14:textId="29ADAA56" w:rsidR="003F3783" w:rsidRPr="00B5440B" w:rsidRDefault="003F3783" w:rsidP="00B5440B">
      <w:pPr>
        <w:pStyle w:val="paragraph"/>
        <w:spacing w:before="0" w:beforeAutospacing="0" w:after="120" w:afterAutospacing="0"/>
        <w:ind w:left="1134"/>
        <w:jc w:val="both"/>
        <w:textAlignment w:val="baseline"/>
        <w:rPr>
          <w:sz w:val="22"/>
          <w:szCs w:val="22"/>
          <w:u w:val="single"/>
        </w:rPr>
      </w:pPr>
      <w:r>
        <w:rPr>
          <w:sz w:val="22"/>
          <w:highlight w:val="yellow"/>
          <w:u w:val="single"/>
        </w:rPr>
        <w:t>[Option </w:t>
      </w:r>
      <w:proofErr w:type="gramStart"/>
      <w:r>
        <w:rPr>
          <w:sz w:val="22"/>
          <w:highlight w:val="yellow"/>
          <w:u w:val="single"/>
        </w:rPr>
        <w:t>1:</w:t>
      </w:r>
      <w:proofErr w:type="gramEnd"/>
      <w:r>
        <w:rPr>
          <w:sz w:val="22"/>
          <w:highlight w:val="yellow"/>
          <w:u w:val="single"/>
        </w:rPr>
        <w:t xml:space="preserve"> Si le portail F&amp;T est activé intégralement dès le début du marché</w:t>
      </w:r>
      <w:r>
        <w:rPr>
          <w:sz w:val="22"/>
          <w:u w:val="single"/>
        </w:rPr>
        <w:t>:</w:t>
      </w:r>
    </w:p>
    <w:p w14:paraId="38D05A7D" w14:textId="77777777" w:rsidR="003F3783" w:rsidRPr="003F3783" w:rsidRDefault="003F3783" w:rsidP="00B5440B">
      <w:pPr>
        <w:spacing w:before="0"/>
        <w:ind w:left="1134"/>
        <w:jc w:val="both"/>
        <w:textAlignment w:val="baseline"/>
        <w:rPr>
          <w:rFonts w:ascii="Times New Roman" w:hAnsi="Times New Roman"/>
          <w:snapToGrid/>
          <w:sz w:val="24"/>
          <w:szCs w:val="24"/>
          <w:highlight w:val="lightGray"/>
        </w:rPr>
      </w:pPr>
      <w:r>
        <w:rPr>
          <w:rFonts w:ascii="Times New Roman" w:hAnsi="Times New Roman"/>
          <w:snapToGrid/>
          <w:sz w:val="22"/>
          <w:highlight w:val="lightGray"/>
        </w:rPr>
        <w:t>Toutes les communications (à l’exception des notifications formelles) doivent avoir lieu par voie électronique via le portail</w:t>
      </w:r>
      <w:proofErr w:type="gramStart"/>
      <w:r>
        <w:rPr>
          <w:rFonts w:ascii="Times New Roman" w:hAnsi="Times New Roman"/>
          <w:snapToGrid/>
          <w:sz w:val="22"/>
          <w:highlight w:val="lightGray"/>
        </w:rPr>
        <w:t xml:space="preserve"> «</w:t>
      </w:r>
      <w:proofErr w:type="spellStart"/>
      <w:r>
        <w:rPr>
          <w:rFonts w:ascii="Times New Roman" w:hAnsi="Times New Roman"/>
          <w:snapToGrid/>
          <w:sz w:val="22"/>
          <w:highlight w:val="lightGray"/>
        </w:rPr>
        <w:t>Funding</w:t>
      </w:r>
      <w:proofErr w:type="spellEnd"/>
      <w:proofErr w:type="gramEnd"/>
      <w:r>
        <w:rPr>
          <w:rFonts w:ascii="Times New Roman" w:hAnsi="Times New Roman"/>
          <w:snapToGrid/>
          <w:sz w:val="22"/>
          <w:highlight w:val="lightGray"/>
        </w:rPr>
        <w:t xml:space="preserve"> &amp; Tenders» de l’UE (ci-après le «portail»), conformément aux conditions générales du portail et au moyen des formulaires et modèles qui y sont fournis (sauf instruction contraire explicite du pouvoir adjudicateur ou si la communication via le portail est empêchée par des facteurs indépendants de la volonté des parties). Le portail est accessible à l’adresse </w:t>
      </w:r>
      <w:proofErr w:type="gramStart"/>
      <w:r>
        <w:rPr>
          <w:rFonts w:ascii="Times New Roman" w:hAnsi="Times New Roman"/>
          <w:snapToGrid/>
          <w:sz w:val="22"/>
          <w:highlight w:val="lightGray"/>
        </w:rPr>
        <w:t>suivante:</w:t>
      </w:r>
      <w:proofErr w:type="gramEnd"/>
      <w:r>
        <w:rPr>
          <w:rFonts w:ascii="Times New Roman" w:hAnsi="Times New Roman"/>
          <w:snapToGrid/>
          <w:sz w:val="22"/>
          <w:highlight w:val="lightGray"/>
        </w:rPr>
        <w:t xml:space="preserve"> </w:t>
      </w:r>
      <w:hyperlink r:id="rId8" w:history="1">
        <w:r>
          <w:rPr>
            <w:rFonts w:ascii="Times New Roman" w:hAnsi="Times New Roman"/>
            <w:snapToGrid/>
            <w:color w:val="0000FF"/>
            <w:sz w:val="22"/>
            <w:highlight w:val="lightGray"/>
            <w:u w:val="single"/>
          </w:rPr>
          <w:t>https://ec.europa.eu/info/funding-tenders/opportunities/portal/</w:t>
        </w:r>
      </w:hyperlink>
      <w:r>
        <w:rPr>
          <w:rFonts w:ascii="Times New Roman" w:hAnsi="Times New Roman"/>
          <w:snapToGrid/>
          <w:sz w:val="22"/>
          <w:highlight w:val="lightGray"/>
        </w:rPr>
        <w:t>.</w:t>
      </w:r>
    </w:p>
    <w:p w14:paraId="2C2C527D" w14:textId="77777777" w:rsidR="003F3783" w:rsidRPr="003F3783" w:rsidRDefault="003F3783" w:rsidP="00B5440B">
      <w:pPr>
        <w:spacing w:before="0"/>
        <w:ind w:left="1134"/>
        <w:jc w:val="both"/>
        <w:textAlignment w:val="baseline"/>
        <w:rPr>
          <w:rFonts w:ascii="Times New Roman" w:hAnsi="Times New Roman"/>
          <w:snapToGrid/>
          <w:sz w:val="24"/>
          <w:szCs w:val="24"/>
          <w:highlight w:val="lightGray"/>
        </w:rPr>
      </w:pPr>
      <w:r>
        <w:rPr>
          <w:rFonts w:ascii="Times New Roman" w:hAnsi="Times New Roman"/>
          <w:snapToGrid/>
          <w:sz w:val="22"/>
          <w:highlight w:val="lightGray"/>
        </w:rPr>
        <w:t>Les communications des contractants via le portail doivent être effectuées par des personnes autorisées conformément aux conditions générales du portail. Pour nommer les personnes autorisées à utiliser le portail, chaque contractant doit avoir désigné, avant la signature du marché, un</w:t>
      </w:r>
      <w:proofErr w:type="gramStart"/>
      <w:r>
        <w:rPr>
          <w:rFonts w:ascii="Times New Roman" w:hAnsi="Times New Roman"/>
          <w:snapToGrid/>
          <w:sz w:val="22"/>
          <w:highlight w:val="lightGray"/>
        </w:rPr>
        <w:t xml:space="preserve"> «représentant</w:t>
      </w:r>
      <w:proofErr w:type="gramEnd"/>
      <w:r>
        <w:rPr>
          <w:rFonts w:ascii="Times New Roman" w:hAnsi="Times New Roman"/>
          <w:snapToGrid/>
          <w:sz w:val="22"/>
          <w:highlight w:val="lightGray"/>
        </w:rPr>
        <w:t xml:space="preserve"> désigné de l’entité juridique». Le rôle et les tâches dudit représentant sont précisés dans sa lettre de nomination (voir les conditions générales du portail).</w:t>
      </w:r>
    </w:p>
    <w:p w14:paraId="3B656086" w14:textId="77777777" w:rsidR="003F3783" w:rsidRPr="003F3783" w:rsidRDefault="003F3783" w:rsidP="00B5440B">
      <w:pPr>
        <w:spacing w:before="0"/>
        <w:ind w:left="1134"/>
        <w:jc w:val="both"/>
        <w:textAlignment w:val="baseline"/>
        <w:rPr>
          <w:rFonts w:ascii="Times New Roman" w:hAnsi="Times New Roman"/>
          <w:snapToGrid/>
          <w:sz w:val="24"/>
          <w:highlight w:val="lightGray"/>
        </w:rPr>
      </w:pPr>
      <w:r>
        <w:rPr>
          <w:rFonts w:ascii="Times New Roman" w:hAnsi="Times New Roman"/>
          <w:snapToGrid/>
          <w:sz w:val="22"/>
          <w:highlight w:val="lightGray"/>
        </w:rPr>
        <w:t>Si la communication via le portail est empêchée, les instructions seront fournies par le pouvoir adjudicateur par courrier électronique et pourront également être publiées sur le portail.</w:t>
      </w:r>
    </w:p>
    <w:p w14:paraId="3B34C9B9" w14:textId="77777777" w:rsidR="003F3783" w:rsidRPr="003F3783" w:rsidRDefault="003F3783" w:rsidP="00B5440B">
      <w:pPr>
        <w:spacing w:before="0"/>
        <w:ind w:left="1134"/>
        <w:jc w:val="both"/>
        <w:textAlignment w:val="baseline"/>
        <w:rPr>
          <w:rFonts w:ascii="Times New Roman" w:hAnsi="Times New Roman"/>
          <w:snapToGrid/>
          <w:sz w:val="22"/>
          <w:szCs w:val="22"/>
          <w:highlight w:val="lightGray"/>
        </w:rPr>
      </w:pPr>
      <w:r>
        <w:rPr>
          <w:rFonts w:ascii="Times New Roman" w:hAnsi="Times New Roman"/>
          <w:snapToGrid/>
          <w:sz w:val="22"/>
          <w:highlight w:val="lightGray"/>
        </w:rPr>
        <w:t>Pendant la durée du marché, le pouvoir adjudicateur se réserve le droit d’activer l’utilisation des notifications formelles via le portail et/ou l’utilisation d’autres systèmes d’échange électronique, sans frais supplémentaires pour le pouvoir adjudicateur.  </w:t>
      </w:r>
    </w:p>
    <w:p w14:paraId="732B9E43" w14:textId="77777777" w:rsidR="003F3783" w:rsidRPr="003F3783" w:rsidRDefault="003F3783" w:rsidP="00B5440B">
      <w:pPr>
        <w:spacing w:before="0" w:after="240"/>
        <w:ind w:left="1134"/>
        <w:jc w:val="both"/>
        <w:rPr>
          <w:rFonts w:ascii="Times New Roman" w:hAnsi="Times New Roman"/>
          <w:snapToGrid/>
          <w:color w:val="000000"/>
          <w:sz w:val="22"/>
          <w:szCs w:val="22"/>
        </w:rPr>
      </w:pPr>
      <w:r>
        <w:rPr>
          <w:rFonts w:ascii="Times New Roman" w:hAnsi="Times New Roman"/>
          <w:snapToGrid/>
          <w:sz w:val="22"/>
          <w:highlight w:val="lightGray"/>
        </w:rPr>
        <w:lastRenderedPageBreak/>
        <w:t xml:space="preserve">En cas de divergence entre les clauses des </w:t>
      </w:r>
      <w:r>
        <w:rPr>
          <w:rFonts w:ascii="Times New Roman" w:hAnsi="Times New Roman"/>
          <w:snapToGrid/>
          <w:color w:val="000000"/>
          <w:sz w:val="22"/>
          <w:highlight w:val="lightGray"/>
        </w:rPr>
        <w:t>conditions générales du portail ou des conditions générales d’un autre système d’échange électronique et les clauses du présent marché, les clauses du présent marché (y compris ses annexes) prévalent.</w:t>
      </w:r>
      <w:r>
        <w:rPr>
          <w:rFonts w:ascii="Times New Roman" w:hAnsi="Times New Roman"/>
          <w:snapToGrid/>
          <w:color w:val="000000"/>
          <w:sz w:val="22"/>
        </w:rPr>
        <w:t>]</w:t>
      </w:r>
    </w:p>
    <w:p w14:paraId="60181F4B" w14:textId="77777777" w:rsidR="003F3783" w:rsidRPr="003F3783" w:rsidRDefault="003F3783" w:rsidP="00B5440B">
      <w:pPr>
        <w:spacing w:before="100" w:beforeAutospacing="1" w:after="100" w:afterAutospacing="1"/>
        <w:ind w:left="1134"/>
        <w:jc w:val="both"/>
        <w:textAlignment w:val="baseline"/>
        <w:rPr>
          <w:rFonts w:ascii="Times New Roman" w:hAnsi="Times New Roman"/>
          <w:snapToGrid/>
          <w:sz w:val="24"/>
          <w:szCs w:val="24"/>
          <w:u w:val="single"/>
        </w:rPr>
      </w:pPr>
      <w:r>
        <w:rPr>
          <w:rFonts w:ascii="Times New Roman" w:hAnsi="Times New Roman"/>
          <w:snapToGrid/>
          <w:sz w:val="22"/>
          <w:highlight w:val="yellow"/>
          <w:u w:val="single"/>
        </w:rPr>
        <w:t>[Option </w:t>
      </w:r>
      <w:proofErr w:type="gramStart"/>
      <w:r>
        <w:rPr>
          <w:rFonts w:ascii="Times New Roman" w:hAnsi="Times New Roman"/>
          <w:snapToGrid/>
          <w:sz w:val="22"/>
          <w:highlight w:val="yellow"/>
          <w:u w:val="single"/>
        </w:rPr>
        <w:t>2:</w:t>
      </w:r>
      <w:proofErr w:type="gramEnd"/>
      <w:r>
        <w:rPr>
          <w:rFonts w:ascii="Times New Roman" w:hAnsi="Times New Roman"/>
          <w:snapToGrid/>
          <w:sz w:val="22"/>
          <w:highlight w:val="yellow"/>
          <w:u w:val="single"/>
        </w:rPr>
        <w:t xml:space="preserve"> Si le portail F&amp;T est activé partiellement dès le début du marché:</w:t>
      </w:r>
    </w:p>
    <w:p w14:paraId="1875749D" w14:textId="77777777" w:rsidR="003F3783" w:rsidRPr="003F3783" w:rsidRDefault="003F3783" w:rsidP="00B5440B">
      <w:pPr>
        <w:spacing w:before="0"/>
        <w:ind w:left="1134"/>
        <w:jc w:val="both"/>
        <w:textAlignment w:val="baseline"/>
        <w:rPr>
          <w:rFonts w:ascii="Times New Roman" w:hAnsi="Times New Roman"/>
          <w:snapToGrid/>
          <w:sz w:val="24"/>
          <w:szCs w:val="24"/>
          <w:highlight w:val="lightGray"/>
        </w:rPr>
      </w:pPr>
      <w:r>
        <w:rPr>
          <w:rFonts w:ascii="Times New Roman" w:hAnsi="Times New Roman"/>
          <w:snapToGrid/>
          <w:sz w:val="22"/>
          <w:highlight w:val="lightGray"/>
        </w:rPr>
        <w:t xml:space="preserve">Au moment de l’entrée en vigueur du présent </w:t>
      </w:r>
      <w:r>
        <w:rPr>
          <w:rFonts w:ascii="Times New Roman" w:hAnsi="Times New Roman"/>
          <w:snapToGrid/>
          <w:color w:val="000000"/>
          <w:sz w:val="22"/>
          <w:highlight w:val="lightGray"/>
        </w:rPr>
        <w:t>marché</w:t>
      </w:r>
      <w:r>
        <w:rPr>
          <w:rFonts w:ascii="Times New Roman" w:hAnsi="Times New Roman"/>
          <w:snapToGrid/>
          <w:sz w:val="22"/>
          <w:highlight w:val="lightGray"/>
        </w:rPr>
        <w:t>, certaines communications auront lieu par voie électronique via le portail</w:t>
      </w:r>
      <w:proofErr w:type="gramStart"/>
      <w:r>
        <w:rPr>
          <w:rFonts w:ascii="Times New Roman" w:hAnsi="Times New Roman"/>
          <w:snapToGrid/>
          <w:sz w:val="22"/>
          <w:highlight w:val="lightGray"/>
        </w:rPr>
        <w:t xml:space="preserve"> «</w:t>
      </w:r>
      <w:proofErr w:type="spellStart"/>
      <w:r>
        <w:rPr>
          <w:rFonts w:ascii="Times New Roman" w:hAnsi="Times New Roman"/>
          <w:snapToGrid/>
          <w:sz w:val="22"/>
          <w:highlight w:val="lightGray"/>
        </w:rPr>
        <w:t>Funding</w:t>
      </w:r>
      <w:proofErr w:type="spellEnd"/>
      <w:proofErr w:type="gramEnd"/>
      <w:r>
        <w:rPr>
          <w:rFonts w:ascii="Times New Roman" w:hAnsi="Times New Roman"/>
          <w:snapToGrid/>
          <w:sz w:val="22"/>
          <w:highlight w:val="lightGray"/>
        </w:rPr>
        <w:t xml:space="preserve"> &amp; Tenders» de l’UE (ci-après le «portail»), conformément aux conditions générales du portail et au moyen des formulaires et modèles qui y sont fournis (sauf instruction contraire explicite du pouvoir adjudicateur ou si la communication via le portail est empêchée par des facteurs indépendants de la volonté des parties). Le portail est accessible à l’adresse </w:t>
      </w:r>
      <w:proofErr w:type="gramStart"/>
      <w:r>
        <w:rPr>
          <w:rFonts w:ascii="Times New Roman" w:hAnsi="Times New Roman"/>
          <w:snapToGrid/>
          <w:sz w:val="22"/>
          <w:highlight w:val="lightGray"/>
        </w:rPr>
        <w:t>suivante:</w:t>
      </w:r>
      <w:proofErr w:type="gramEnd"/>
      <w:r>
        <w:rPr>
          <w:rFonts w:ascii="Times New Roman" w:hAnsi="Times New Roman"/>
          <w:snapToGrid/>
          <w:sz w:val="22"/>
          <w:highlight w:val="lightGray"/>
        </w:rPr>
        <w:t xml:space="preserve"> </w:t>
      </w:r>
      <w:hyperlink r:id="rId9" w:history="1">
        <w:r>
          <w:rPr>
            <w:rFonts w:ascii="Times New Roman" w:hAnsi="Times New Roman"/>
            <w:snapToGrid/>
            <w:color w:val="0000FF"/>
            <w:sz w:val="22"/>
            <w:highlight w:val="lightGray"/>
            <w:u w:val="single"/>
          </w:rPr>
          <w:t>https://ec.europa.eu/info/funding-tenders/opportunities/portal/</w:t>
        </w:r>
      </w:hyperlink>
      <w:r>
        <w:t>.</w:t>
      </w:r>
    </w:p>
    <w:p w14:paraId="6D0761E1" w14:textId="0490349B" w:rsidR="003F3783" w:rsidRPr="003F3783" w:rsidRDefault="003F3783" w:rsidP="00B5440B">
      <w:pPr>
        <w:spacing w:before="0"/>
        <w:ind w:left="1134"/>
        <w:jc w:val="both"/>
        <w:textAlignment w:val="baseline"/>
        <w:rPr>
          <w:rFonts w:ascii="Times New Roman" w:hAnsi="Times New Roman"/>
          <w:snapToGrid/>
          <w:sz w:val="22"/>
          <w:szCs w:val="22"/>
        </w:rPr>
      </w:pPr>
      <w:r>
        <w:rPr>
          <w:rFonts w:ascii="Times New Roman" w:hAnsi="Times New Roman"/>
          <w:snapToGrid/>
          <w:sz w:val="22"/>
          <w:highlight w:val="lightGray"/>
        </w:rPr>
        <w:t xml:space="preserve">Les communications suivantes doivent être effectuées via le </w:t>
      </w:r>
      <w:proofErr w:type="gramStart"/>
      <w:r>
        <w:rPr>
          <w:rFonts w:ascii="Times New Roman" w:hAnsi="Times New Roman"/>
          <w:snapToGrid/>
          <w:sz w:val="22"/>
          <w:highlight w:val="lightGray"/>
        </w:rPr>
        <w:t>portail:</w:t>
      </w:r>
      <w:proofErr w:type="gramEnd"/>
      <w:r>
        <w:rPr>
          <w:rFonts w:ascii="Times New Roman" w:hAnsi="Times New Roman"/>
          <w:snapToGrid/>
          <w:sz w:val="22"/>
          <w:highlight w:val="lightGray"/>
        </w:rPr>
        <w:t xml:space="preserve"> [la transmission des éléments livrables, factures et avenants] </w:t>
      </w:r>
    </w:p>
    <w:p w14:paraId="4F42F371" w14:textId="77777777" w:rsidR="003F3783" w:rsidRPr="003F3783" w:rsidRDefault="003F3783" w:rsidP="00B5440B">
      <w:pPr>
        <w:spacing w:before="0"/>
        <w:ind w:left="1134"/>
        <w:jc w:val="both"/>
        <w:textAlignment w:val="baseline"/>
        <w:rPr>
          <w:rFonts w:ascii="Times New Roman" w:hAnsi="Times New Roman"/>
          <w:snapToGrid/>
          <w:sz w:val="24"/>
          <w:szCs w:val="24"/>
          <w:highlight w:val="lightGray"/>
        </w:rPr>
      </w:pPr>
      <w:r>
        <w:rPr>
          <w:rFonts w:ascii="Times New Roman" w:hAnsi="Times New Roman"/>
          <w:snapToGrid/>
          <w:sz w:val="22"/>
          <w:highlight w:val="lightGray"/>
        </w:rPr>
        <w:t xml:space="preserve">Les communications des contractants via le portail doivent être effectuées par des personnes autorisées conformément aux conditions générales du portail. Pour nommer les personnes autorisées à utiliser le portail, chaque contractant doit avoir désigné, avant la signature du </w:t>
      </w:r>
      <w:r>
        <w:rPr>
          <w:rFonts w:ascii="Times New Roman" w:hAnsi="Times New Roman"/>
          <w:snapToGrid/>
          <w:color w:val="000000"/>
          <w:sz w:val="22"/>
          <w:highlight w:val="lightGray"/>
        </w:rPr>
        <w:t>marché</w:t>
      </w:r>
      <w:r>
        <w:rPr>
          <w:rFonts w:ascii="Times New Roman" w:hAnsi="Times New Roman"/>
          <w:snapToGrid/>
          <w:sz w:val="22"/>
          <w:highlight w:val="lightGray"/>
        </w:rPr>
        <w:t>, un</w:t>
      </w:r>
      <w:proofErr w:type="gramStart"/>
      <w:r>
        <w:rPr>
          <w:rFonts w:ascii="Times New Roman" w:hAnsi="Times New Roman"/>
          <w:snapToGrid/>
          <w:sz w:val="22"/>
          <w:highlight w:val="lightGray"/>
        </w:rPr>
        <w:t xml:space="preserve"> «représentant</w:t>
      </w:r>
      <w:proofErr w:type="gramEnd"/>
      <w:r>
        <w:rPr>
          <w:rFonts w:ascii="Times New Roman" w:hAnsi="Times New Roman"/>
          <w:snapToGrid/>
          <w:sz w:val="22"/>
          <w:highlight w:val="lightGray"/>
        </w:rPr>
        <w:t xml:space="preserve"> désigné de l’entité juridique». Le rôle et les tâches dudit représentant sont précisés dans sa lettre de nomination (voir les conditions générales du portail).</w:t>
      </w:r>
    </w:p>
    <w:p w14:paraId="568215E2" w14:textId="77777777" w:rsidR="003F3783" w:rsidRPr="003F3783" w:rsidRDefault="003F3783" w:rsidP="00B5440B">
      <w:pPr>
        <w:spacing w:before="0"/>
        <w:ind w:left="1134"/>
        <w:jc w:val="both"/>
        <w:textAlignment w:val="baseline"/>
        <w:rPr>
          <w:rFonts w:ascii="Times New Roman" w:hAnsi="Times New Roman"/>
          <w:snapToGrid/>
          <w:sz w:val="24"/>
          <w:highlight w:val="lightGray"/>
        </w:rPr>
      </w:pPr>
      <w:r>
        <w:rPr>
          <w:rFonts w:ascii="Times New Roman" w:hAnsi="Times New Roman"/>
          <w:snapToGrid/>
          <w:sz w:val="22"/>
          <w:highlight w:val="lightGray"/>
        </w:rPr>
        <w:t>Si la communication via le portail est empêchée, les instructions seront fournies par le pouvoir adjudicateur par courrier électronique et pourront également être publiées sur le portail.</w:t>
      </w:r>
    </w:p>
    <w:p w14:paraId="578E6527" w14:textId="77777777" w:rsidR="003F3783" w:rsidRPr="003F3783" w:rsidRDefault="003F3783" w:rsidP="00B5440B">
      <w:pPr>
        <w:spacing w:before="0"/>
        <w:ind w:left="1134"/>
        <w:jc w:val="both"/>
        <w:textAlignment w:val="baseline"/>
        <w:rPr>
          <w:rFonts w:ascii="Times New Roman" w:hAnsi="Times New Roman"/>
          <w:snapToGrid/>
          <w:sz w:val="22"/>
          <w:szCs w:val="22"/>
          <w:highlight w:val="lightGray"/>
        </w:rPr>
      </w:pPr>
      <w:r>
        <w:rPr>
          <w:rFonts w:ascii="Times New Roman" w:hAnsi="Times New Roman"/>
          <w:snapToGrid/>
          <w:sz w:val="22"/>
          <w:highlight w:val="lightGray"/>
        </w:rPr>
        <w:t xml:space="preserve">Pendant la durée du </w:t>
      </w:r>
      <w:r>
        <w:rPr>
          <w:rFonts w:ascii="Times New Roman" w:hAnsi="Times New Roman"/>
          <w:snapToGrid/>
          <w:color w:val="000000"/>
          <w:sz w:val="22"/>
          <w:highlight w:val="lightGray"/>
        </w:rPr>
        <w:t>marché</w:t>
      </w:r>
      <w:r>
        <w:rPr>
          <w:rFonts w:ascii="Times New Roman" w:hAnsi="Times New Roman"/>
          <w:snapToGrid/>
          <w:sz w:val="22"/>
          <w:highlight w:val="lightGray"/>
        </w:rPr>
        <w:t>, le pouvoir adjudicateur se réserve le droit d’étendre la couverture des communications effectuées via le portail ou d’activer l’utilisation d’autres systèmes d’échange électronique, sans frais supplémentaires pour le pouvoir adjudicateur.  </w:t>
      </w:r>
    </w:p>
    <w:p w14:paraId="0CCB7225" w14:textId="77777777" w:rsidR="003F3783" w:rsidRPr="003F3783" w:rsidRDefault="003F3783" w:rsidP="00B5440B">
      <w:pPr>
        <w:spacing w:before="0" w:after="240"/>
        <w:ind w:left="1134"/>
        <w:jc w:val="both"/>
        <w:rPr>
          <w:rFonts w:ascii="Times New Roman" w:hAnsi="Times New Roman"/>
          <w:snapToGrid/>
          <w:color w:val="000000"/>
          <w:sz w:val="22"/>
          <w:szCs w:val="22"/>
        </w:rPr>
      </w:pPr>
      <w:r>
        <w:rPr>
          <w:rFonts w:ascii="Times New Roman" w:hAnsi="Times New Roman"/>
          <w:snapToGrid/>
          <w:sz w:val="22"/>
          <w:highlight w:val="lightGray"/>
        </w:rPr>
        <w:t xml:space="preserve">En cas de divergence entre les clauses des </w:t>
      </w:r>
      <w:r>
        <w:rPr>
          <w:rFonts w:ascii="Times New Roman" w:hAnsi="Times New Roman"/>
          <w:snapToGrid/>
          <w:color w:val="000000"/>
          <w:sz w:val="22"/>
          <w:highlight w:val="lightGray"/>
        </w:rPr>
        <w:t>conditions générales du portail ou des conditions générales d’un autre système d’échange électronique et les clauses du présent marché, les clauses du présent marché (y compris ses annexes) prévalent</w:t>
      </w:r>
      <w:r>
        <w:rPr>
          <w:rFonts w:ascii="Times New Roman" w:hAnsi="Times New Roman"/>
          <w:snapToGrid/>
          <w:color w:val="000000"/>
          <w:sz w:val="22"/>
        </w:rPr>
        <w:t>.]</w:t>
      </w:r>
    </w:p>
    <w:p w14:paraId="75AB515B" w14:textId="77777777" w:rsidR="003F3783" w:rsidRPr="003F3783" w:rsidRDefault="003F3783" w:rsidP="00B5440B">
      <w:pPr>
        <w:spacing w:before="100" w:beforeAutospacing="1" w:after="100" w:afterAutospacing="1"/>
        <w:ind w:left="1134"/>
        <w:jc w:val="both"/>
        <w:textAlignment w:val="baseline"/>
        <w:rPr>
          <w:rFonts w:ascii="Times New Roman" w:hAnsi="Times New Roman"/>
          <w:snapToGrid/>
          <w:sz w:val="24"/>
          <w:szCs w:val="24"/>
          <w:u w:val="single"/>
        </w:rPr>
      </w:pPr>
      <w:r>
        <w:rPr>
          <w:rFonts w:ascii="Times New Roman" w:hAnsi="Times New Roman"/>
          <w:snapToGrid/>
          <w:sz w:val="22"/>
          <w:highlight w:val="yellow"/>
          <w:u w:val="single"/>
        </w:rPr>
        <w:t>[Option </w:t>
      </w:r>
      <w:proofErr w:type="gramStart"/>
      <w:r>
        <w:rPr>
          <w:rFonts w:ascii="Times New Roman" w:hAnsi="Times New Roman"/>
          <w:snapToGrid/>
          <w:sz w:val="22"/>
          <w:highlight w:val="yellow"/>
          <w:u w:val="single"/>
        </w:rPr>
        <w:t>3:</w:t>
      </w:r>
      <w:proofErr w:type="gramEnd"/>
      <w:r>
        <w:rPr>
          <w:rFonts w:ascii="Times New Roman" w:hAnsi="Times New Roman"/>
          <w:snapToGrid/>
          <w:sz w:val="22"/>
          <w:highlight w:val="yellow"/>
          <w:u w:val="single"/>
        </w:rPr>
        <w:t xml:space="preserve"> Si le portail F&amp;T n’est pas activé dès le début du marché</w:t>
      </w:r>
    </w:p>
    <w:p w14:paraId="485D03AC" w14:textId="77777777" w:rsidR="003F3783" w:rsidRPr="003F3783" w:rsidRDefault="003F3783" w:rsidP="00B5440B">
      <w:pPr>
        <w:spacing w:before="0"/>
        <w:ind w:left="1134"/>
        <w:jc w:val="both"/>
        <w:textAlignment w:val="baseline"/>
        <w:rPr>
          <w:rFonts w:ascii="Times New Roman" w:hAnsi="Times New Roman"/>
          <w:snapToGrid/>
          <w:sz w:val="24"/>
          <w:szCs w:val="24"/>
          <w:highlight w:val="lightGray"/>
        </w:rPr>
      </w:pPr>
      <w:r>
        <w:rPr>
          <w:rFonts w:ascii="Times New Roman" w:hAnsi="Times New Roman"/>
          <w:snapToGrid/>
          <w:sz w:val="22"/>
          <w:highlight w:val="lightGray"/>
        </w:rPr>
        <w:t xml:space="preserve">Après l’entrée en vigueur du présent </w:t>
      </w:r>
      <w:r>
        <w:rPr>
          <w:rFonts w:ascii="Times New Roman" w:hAnsi="Times New Roman"/>
          <w:snapToGrid/>
          <w:color w:val="000000"/>
          <w:sz w:val="22"/>
          <w:highlight w:val="lightGray"/>
        </w:rPr>
        <w:t>marché</w:t>
      </w:r>
      <w:r>
        <w:rPr>
          <w:rFonts w:ascii="Times New Roman" w:hAnsi="Times New Roman"/>
          <w:snapToGrid/>
          <w:sz w:val="22"/>
          <w:highlight w:val="lightGray"/>
        </w:rPr>
        <w:t>, à tout moment pendant sa durée, le pouvoir adjudicateur peut notifier formellement par écrit au contractant que certaines communications auront lieu par voie électronique via le portail</w:t>
      </w:r>
      <w:proofErr w:type="gramStart"/>
      <w:r>
        <w:rPr>
          <w:rFonts w:ascii="Times New Roman" w:hAnsi="Times New Roman"/>
          <w:snapToGrid/>
          <w:sz w:val="22"/>
          <w:highlight w:val="lightGray"/>
        </w:rPr>
        <w:t xml:space="preserve"> «</w:t>
      </w:r>
      <w:proofErr w:type="spellStart"/>
      <w:r>
        <w:rPr>
          <w:rFonts w:ascii="Times New Roman" w:hAnsi="Times New Roman"/>
          <w:snapToGrid/>
          <w:sz w:val="22"/>
          <w:highlight w:val="lightGray"/>
        </w:rPr>
        <w:t>Funding</w:t>
      </w:r>
      <w:proofErr w:type="spellEnd"/>
      <w:proofErr w:type="gramEnd"/>
      <w:r>
        <w:rPr>
          <w:rFonts w:ascii="Times New Roman" w:hAnsi="Times New Roman"/>
          <w:snapToGrid/>
          <w:sz w:val="22"/>
          <w:highlight w:val="lightGray"/>
        </w:rPr>
        <w:t xml:space="preserve"> &amp; Tenders» (ci-après le «portail»), conformément aux conditions générales du portail et au moyen des formulaires et modèles qui y sont fournis. Le portail est accessible à l’adresse </w:t>
      </w:r>
      <w:proofErr w:type="gramStart"/>
      <w:r>
        <w:rPr>
          <w:rFonts w:ascii="Times New Roman" w:hAnsi="Times New Roman"/>
          <w:snapToGrid/>
          <w:sz w:val="22"/>
          <w:highlight w:val="lightGray"/>
        </w:rPr>
        <w:t>suivante:</w:t>
      </w:r>
      <w:proofErr w:type="gramEnd"/>
      <w:r>
        <w:rPr>
          <w:rFonts w:ascii="Times New Roman" w:hAnsi="Times New Roman"/>
          <w:snapToGrid/>
          <w:sz w:val="22"/>
          <w:highlight w:val="lightGray"/>
        </w:rPr>
        <w:t xml:space="preserve"> </w:t>
      </w:r>
      <w:hyperlink r:id="rId10" w:history="1">
        <w:r>
          <w:rPr>
            <w:rFonts w:ascii="Times New Roman" w:hAnsi="Times New Roman"/>
            <w:snapToGrid/>
            <w:color w:val="0000FF"/>
            <w:sz w:val="22"/>
            <w:highlight w:val="lightGray"/>
            <w:u w:val="single"/>
          </w:rPr>
          <w:t>https://ec.europa.eu/info/funding-tenders/opportunities/portal/</w:t>
        </w:r>
      </w:hyperlink>
      <w:r>
        <w:t>.</w:t>
      </w:r>
      <w:r>
        <w:rPr>
          <w:rFonts w:ascii="Times New Roman" w:hAnsi="Times New Roman"/>
          <w:snapToGrid/>
          <w:sz w:val="22"/>
          <w:highlight w:val="lightGray"/>
        </w:rPr>
        <w:t xml:space="preserve"> La notification indique si toutes les communications au titre du </w:t>
      </w:r>
      <w:r>
        <w:rPr>
          <w:rFonts w:ascii="Times New Roman" w:hAnsi="Times New Roman"/>
          <w:snapToGrid/>
          <w:color w:val="000000"/>
          <w:sz w:val="22"/>
          <w:highlight w:val="lightGray"/>
        </w:rPr>
        <w:t>marché</w:t>
      </w:r>
      <w:r>
        <w:rPr>
          <w:rFonts w:ascii="Times New Roman" w:hAnsi="Times New Roman"/>
          <w:snapToGrid/>
          <w:sz w:val="22"/>
          <w:highlight w:val="lightGray"/>
        </w:rPr>
        <w:t xml:space="preserve"> ou seulement certaines d’entre elles auront lieu via le portail. La notification produit tous ses effets juridiques à compter de la date qui y est indiquée, ce qui laisse au contractant un délai raisonnable pour accomplir toutes les démarches nécessaires pour avoir accès au portail. L’activation de l’utilisation du portail n’entraîne aucuns frais supplémentaires pour le pouvoir adjudicateur.</w:t>
      </w:r>
    </w:p>
    <w:p w14:paraId="3362C1D0" w14:textId="77777777" w:rsidR="003F3783" w:rsidRPr="003F3783" w:rsidRDefault="003F3783" w:rsidP="00B5440B">
      <w:pPr>
        <w:spacing w:before="0"/>
        <w:ind w:left="1134"/>
        <w:jc w:val="both"/>
        <w:textAlignment w:val="baseline"/>
        <w:rPr>
          <w:rFonts w:ascii="Times New Roman" w:hAnsi="Times New Roman"/>
          <w:snapToGrid/>
          <w:sz w:val="24"/>
          <w:szCs w:val="24"/>
          <w:highlight w:val="lightGray"/>
        </w:rPr>
      </w:pPr>
      <w:r>
        <w:rPr>
          <w:rFonts w:ascii="Times New Roman" w:hAnsi="Times New Roman"/>
          <w:snapToGrid/>
          <w:sz w:val="22"/>
          <w:highlight w:val="lightGray"/>
        </w:rPr>
        <w:t xml:space="preserve">Si l’utilisation du portail est activée, toute communication couverte par la notification d’activation liée à la mise en œuvre du présent </w:t>
      </w:r>
      <w:r>
        <w:rPr>
          <w:rFonts w:ascii="Times New Roman" w:hAnsi="Times New Roman"/>
          <w:snapToGrid/>
          <w:color w:val="000000"/>
          <w:sz w:val="22"/>
          <w:highlight w:val="lightGray"/>
        </w:rPr>
        <w:t>marché</w:t>
      </w:r>
      <w:r>
        <w:rPr>
          <w:rFonts w:ascii="Times New Roman" w:hAnsi="Times New Roman"/>
          <w:snapToGrid/>
          <w:sz w:val="22"/>
          <w:highlight w:val="lightGray"/>
        </w:rPr>
        <w:t xml:space="preserve"> a lieu via le portail (sauf instruction contraire explicite du pouvoir adjudicateur ou si la communication via le portail est empêchée par des facteurs indépendants de la volonté des parties).</w:t>
      </w:r>
    </w:p>
    <w:p w14:paraId="6EB22AB7" w14:textId="77777777" w:rsidR="003F3783" w:rsidRPr="003F3783" w:rsidRDefault="003F3783" w:rsidP="00B5440B">
      <w:pPr>
        <w:spacing w:before="0"/>
        <w:ind w:left="1134"/>
        <w:jc w:val="both"/>
        <w:textAlignment w:val="baseline"/>
        <w:rPr>
          <w:rFonts w:ascii="Times New Roman" w:hAnsi="Times New Roman"/>
          <w:snapToGrid/>
          <w:sz w:val="24"/>
          <w:szCs w:val="24"/>
          <w:highlight w:val="lightGray"/>
        </w:rPr>
      </w:pPr>
      <w:r>
        <w:rPr>
          <w:rFonts w:ascii="Times New Roman" w:hAnsi="Times New Roman"/>
          <w:snapToGrid/>
          <w:sz w:val="22"/>
          <w:highlight w:val="lightGray"/>
        </w:rPr>
        <w:t xml:space="preserve">Les communications des contractants via le portail doivent être effectuées par des personnes autorisées conformément aux conditions générales du portail. Pour nommer les personnes autorisées à utiliser le portail, chaque contractant doit désigner, avant la date </w:t>
      </w:r>
      <w:r>
        <w:rPr>
          <w:rFonts w:ascii="Times New Roman" w:hAnsi="Times New Roman"/>
          <w:snapToGrid/>
          <w:sz w:val="22"/>
          <w:highlight w:val="lightGray"/>
        </w:rPr>
        <w:lastRenderedPageBreak/>
        <w:t>d’effet de la notification d’activation, un</w:t>
      </w:r>
      <w:proofErr w:type="gramStart"/>
      <w:r>
        <w:rPr>
          <w:rFonts w:ascii="Times New Roman" w:hAnsi="Times New Roman"/>
          <w:snapToGrid/>
          <w:sz w:val="22"/>
          <w:highlight w:val="lightGray"/>
        </w:rPr>
        <w:t xml:space="preserve"> «représentant</w:t>
      </w:r>
      <w:proofErr w:type="gramEnd"/>
      <w:r>
        <w:rPr>
          <w:rFonts w:ascii="Times New Roman" w:hAnsi="Times New Roman"/>
          <w:snapToGrid/>
          <w:sz w:val="22"/>
          <w:highlight w:val="lightGray"/>
        </w:rPr>
        <w:t xml:space="preserve"> désigné de l’entité juridique». Le rôle et les tâches dudit représentant sont précisés dans sa lettre de nomination (voir les conditions générales du portail).</w:t>
      </w:r>
    </w:p>
    <w:p w14:paraId="441DACBC" w14:textId="77777777" w:rsidR="003F3783" w:rsidRPr="003F3783" w:rsidRDefault="003F3783" w:rsidP="00B5440B">
      <w:pPr>
        <w:spacing w:before="0"/>
        <w:ind w:left="1134"/>
        <w:jc w:val="both"/>
        <w:textAlignment w:val="baseline"/>
        <w:rPr>
          <w:rFonts w:ascii="Times New Roman" w:hAnsi="Times New Roman"/>
          <w:snapToGrid/>
          <w:sz w:val="24"/>
          <w:highlight w:val="lightGray"/>
        </w:rPr>
      </w:pPr>
      <w:r>
        <w:rPr>
          <w:rFonts w:ascii="Times New Roman" w:hAnsi="Times New Roman"/>
          <w:snapToGrid/>
          <w:sz w:val="22"/>
          <w:highlight w:val="lightGray"/>
        </w:rPr>
        <w:t>Si la communication via le portail est empêchée, les instructions seront fournies par le pouvoir adjudicateur par courrier électronique et pourront également être publiées sur le portail.</w:t>
      </w:r>
    </w:p>
    <w:p w14:paraId="417884AF" w14:textId="77777777" w:rsidR="003F3783" w:rsidRPr="003F3783" w:rsidRDefault="003F3783" w:rsidP="00B5440B">
      <w:pPr>
        <w:spacing w:before="0"/>
        <w:ind w:left="1134"/>
        <w:jc w:val="both"/>
        <w:textAlignment w:val="baseline"/>
        <w:rPr>
          <w:rFonts w:ascii="Times New Roman" w:hAnsi="Times New Roman"/>
          <w:snapToGrid/>
          <w:sz w:val="22"/>
          <w:szCs w:val="22"/>
          <w:highlight w:val="lightGray"/>
        </w:rPr>
      </w:pPr>
      <w:r>
        <w:rPr>
          <w:rFonts w:ascii="Times New Roman" w:hAnsi="Times New Roman"/>
          <w:snapToGrid/>
          <w:sz w:val="22"/>
          <w:highlight w:val="lightGray"/>
        </w:rPr>
        <w:t>Pendant la durée du marché, le pouvoir adjudicateur se réserve le droit d’étendre davantage la couverture des communications effectuées via le portail (si son utilisation a déjà été activée) ou d’activer l’utilisation d’autres systèmes d’échange électronique, sans frais supplémentaires pour le pouvoir adjudicateur.</w:t>
      </w:r>
    </w:p>
    <w:p w14:paraId="478705FD" w14:textId="77777777" w:rsidR="003F3783" w:rsidRPr="003F3783" w:rsidRDefault="003F3783" w:rsidP="00B5440B">
      <w:pPr>
        <w:spacing w:before="0" w:after="240"/>
        <w:ind w:left="1134"/>
        <w:jc w:val="both"/>
        <w:rPr>
          <w:rFonts w:ascii="Times New Roman" w:hAnsi="Times New Roman"/>
          <w:snapToGrid/>
          <w:color w:val="000000"/>
          <w:sz w:val="22"/>
          <w:szCs w:val="22"/>
        </w:rPr>
      </w:pPr>
      <w:r>
        <w:rPr>
          <w:rFonts w:ascii="Times New Roman" w:hAnsi="Times New Roman"/>
          <w:snapToGrid/>
          <w:sz w:val="22"/>
          <w:highlight w:val="lightGray"/>
        </w:rPr>
        <w:t xml:space="preserve">En cas de divergence entre les clauses des </w:t>
      </w:r>
      <w:r>
        <w:rPr>
          <w:rFonts w:ascii="Times New Roman" w:hAnsi="Times New Roman"/>
          <w:snapToGrid/>
          <w:color w:val="000000"/>
          <w:sz w:val="22"/>
          <w:highlight w:val="lightGray"/>
        </w:rPr>
        <w:t>conditions générales du portail ou des conditions générales d’un autre système d’échange électronique et les clauses du présent marché, les clauses du présent marché (y compris ses annexes) prévalent.</w:t>
      </w:r>
      <w:r>
        <w:rPr>
          <w:rFonts w:ascii="Times New Roman" w:hAnsi="Times New Roman"/>
          <w:snapToGrid/>
          <w:color w:val="000000"/>
          <w:sz w:val="22"/>
        </w:rPr>
        <w:t>]</w:t>
      </w:r>
    </w:p>
    <w:p w14:paraId="7F1BE0E1" w14:textId="1471D4E6" w:rsidR="003F3783" w:rsidRDefault="003F3783" w:rsidP="00B5440B">
      <w:pPr>
        <w:ind w:left="1134" w:hanging="992"/>
        <w:jc w:val="both"/>
        <w:rPr>
          <w:rFonts w:ascii="Times New Roman" w:hAnsi="Times New Roman"/>
          <w:iCs/>
          <w:sz w:val="22"/>
          <w:szCs w:val="22"/>
        </w:rPr>
      </w:pPr>
      <w:r>
        <w:rPr>
          <w:rFonts w:ascii="Times New Roman" w:hAnsi="Times New Roman"/>
          <w:sz w:val="22"/>
        </w:rPr>
        <w:t>4.5 et 4.6</w:t>
      </w:r>
      <w:r>
        <w:rPr>
          <w:rFonts w:ascii="Times New Roman" w:hAnsi="Times New Roman"/>
          <w:sz w:val="22"/>
        </w:rPr>
        <w:tab/>
        <w:t>Communication par courrier électronique et communication par courrier </w:t>
      </w:r>
    </w:p>
    <w:p w14:paraId="19BB35F4" w14:textId="18DB4AC8" w:rsidR="003F3783" w:rsidRPr="003F3783" w:rsidRDefault="003F3783" w:rsidP="00B5440B">
      <w:pPr>
        <w:keepNext/>
        <w:keepLines/>
        <w:spacing w:before="0"/>
        <w:ind w:left="1134"/>
        <w:jc w:val="both"/>
        <w:rPr>
          <w:rFonts w:ascii="Times New Roman" w:hAnsi="Times New Roman"/>
          <w:snapToGrid/>
          <w:sz w:val="22"/>
          <w:szCs w:val="22"/>
        </w:rPr>
      </w:pPr>
      <w:r>
        <w:rPr>
          <w:rFonts w:ascii="Times New Roman" w:hAnsi="Times New Roman"/>
          <w:snapToGrid/>
          <w:sz w:val="22"/>
        </w:rPr>
        <w:t>Si les communications via le portail n’ont pas été activées ou si un certain type de communication n’est pas encore pris en charge par le portail, les communications seront envoyées par courrier électronique ou, exceptionnellement, sur papier, au moyen d’un service de messagerie, aux adresses suivantes, jusqu’à ce que les communications via le portail soient activées.</w:t>
      </w:r>
    </w:p>
    <w:p w14:paraId="3E118F28" w14:textId="77777777" w:rsidR="003F3783" w:rsidRPr="003F3783" w:rsidRDefault="003F3783" w:rsidP="00B5440B">
      <w:pPr>
        <w:spacing w:before="0"/>
        <w:ind w:left="1134"/>
        <w:jc w:val="both"/>
        <w:textAlignment w:val="baseline"/>
        <w:rPr>
          <w:rFonts w:ascii="Times New Roman" w:hAnsi="Times New Roman"/>
          <w:snapToGrid/>
          <w:sz w:val="24"/>
          <w:szCs w:val="24"/>
        </w:rPr>
      </w:pPr>
      <w:r>
        <w:rPr>
          <w:rFonts w:ascii="Times New Roman" w:hAnsi="Times New Roman"/>
          <w:snapToGrid/>
          <w:sz w:val="22"/>
        </w:rPr>
        <w:t xml:space="preserve">Aux fins du présent </w:t>
      </w:r>
      <w:r>
        <w:rPr>
          <w:rFonts w:ascii="Times New Roman" w:hAnsi="Times New Roman"/>
          <w:snapToGrid/>
          <w:color w:val="000000"/>
          <w:sz w:val="22"/>
        </w:rPr>
        <w:t>marché</w:t>
      </w:r>
      <w:r>
        <w:rPr>
          <w:rFonts w:ascii="Times New Roman" w:hAnsi="Times New Roman"/>
          <w:snapToGrid/>
          <w:sz w:val="22"/>
        </w:rPr>
        <w:t xml:space="preserve">, les communications par courrier électronique et les communications par courrier doivent être envoyées aux adresses </w:t>
      </w:r>
      <w:proofErr w:type="gramStart"/>
      <w:r>
        <w:rPr>
          <w:rFonts w:ascii="Times New Roman" w:hAnsi="Times New Roman"/>
          <w:snapToGrid/>
          <w:sz w:val="22"/>
        </w:rPr>
        <w:t>suivantes:</w:t>
      </w:r>
      <w:proofErr w:type="gramEnd"/>
      <w:r>
        <w:rPr>
          <w:rFonts w:ascii="Times New Roman" w:hAnsi="Times New Roman"/>
          <w:snapToGrid/>
          <w:sz w:val="22"/>
        </w:rPr>
        <w:t> </w:t>
      </w:r>
    </w:p>
    <w:p w14:paraId="42ADD03E" w14:textId="77777777" w:rsidR="003F3783" w:rsidRPr="003F3783" w:rsidRDefault="003F3783" w:rsidP="00B5440B">
      <w:pPr>
        <w:spacing w:before="0"/>
        <w:ind w:left="1134"/>
        <w:textAlignment w:val="baseline"/>
        <w:rPr>
          <w:rFonts w:ascii="Times New Roman" w:hAnsi="Times New Roman"/>
          <w:snapToGrid/>
          <w:sz w:val="22"/>
          <w:szCs w:val="22"/>
        </w:rPr>
      </w:pPr>
      <w:r>
        <w:rPr>
          <w:rFonts w:ascii="Times New Roman" w:hAnsi="Times New Roman"/>
          <w:snapToGrid/>
          <w:sz w:val="22"/>
        </w:rPr>
        <w:t xml:space="preserve">Pouvoir </w:t>
      </w:r>
      <w:proofErr w:type="gramStart"/>
      <w:r>
        <w:rPr>
          <w:rFonts w:ascii="Times New Roman" w:hAnsi="Times New Roman"/>
          <w:snapToGrid/>
          <w:sz w:val="22"/>
        </w:rPr>
        <w:t>adjudicateur:</w:t>
      </w:r>
      <w:proofErr w:type="gramEnd"/>
      <w:r>
        <w:rPr>
          <w:rFonts w:ascii="Times New Roman" w:hAnsi="Times New Roman"/>
          <w:snapToGrid/>
          <w:sz w:val="22"/>
        </w:rPr>
        <w:t> </w:t>
      </w:r>
    </w:p>
    <w:p w14:paraId="211AA4C8" w14:textId="77777777" w:rsidR="003F3783" w:rsidRPr="003F3783" w:rsidRDefault="003F3783" w:rsidP="00B5440B">
      <w:pPr>
        <w:spacing w:before="0"/>
        <w:ind w:left="1134"/>
        <w:textAlignment w:val="baseline"/>
        <w:rPr>
          <w:rFonts w:ascii="Times New Roman" w:hAnsi="Times New Roman"/>
          <w:snapToGrid/>
          <w:sz w:val="22"/>
          <w:szCs w:val="22"/>
        </w:rPr>
      </w:pPr>
      <w:r>
        <w:rPr>
          <w:rFonts w:ascii="Times New Roman" w:hAnsi="Times New Roman"/>
          <w:snapToGrid/>
          <w:sz w:val="22"/>
          <w:highlight w:val="yellow"/>
        </w:rPr>
        <w:t xml:space="preserve">[[en cas de gestion </w:t>
      </w:r>
      <w:proofErr w:type="gramStart"/>
      <w:r>
        <w:rPr>
          <w:rFonts w:ascii="Times New Roman" w:hAnsi="Times New Roman"/>
          <w:snapToGrid/>
          <w:sz w:val="22"/>
          <w:highlight w:val="yellow"/>
        </w:rPr>
        <w:t>directe</w:t>
      </w:r>
      <w:r>
        <w:rPr>
          <w:rFonts w:ascii="Times New Roman" w:hAnsi="Times New Roman"/>
          <w:snapToGrid/>
          <w:sz w:val="22"/>
        </w:rPr>
        <w:t>:</w:t>
      </w:r>
      <w:proofErr w:type="gramEnd"/>
      <w:r>
        <w:rPr>
          <w:rFonts w:ascii="Times New Roman" w:hAnsi="Times New Roman"/>
          <w:snapToGrid/>
          <w:sz w:val="22"/>
        </w:rPr>
        <w:t xml:space="preserve"> </w:t>
      </w:r>
      <w:r>
        <w:rPr>
          <w:rFonts w:ascii="Times New Roman" w:hAnsi="Times New Roman"/>
          <w:snapToGrid/>
          <w:sz w:val="22"/>
          <w:highlight w:val="lightGray"/>
        </w:rPr>
        <w:t>Commission européenne</w:t>
      </w:r>
      <w:r>
        <w:rPr>
          <w:rFonts w:ascii="Times New Roman" w:hAnsi="Times New Roman"/>
          <w:snapToGrid/>
          <w:sz w:val="22"/>
        </w:rPr>
        <w:t xml:space="preserve">]  </w:t>
      </w:r>
    </w:p>
    <w:p w14:paraId="1630405C" w14:textId="77777777" w:rsidR="003F3783" w:rsidRPr="003F3783" w:rsidRDefault="003F3783" w:rsidP="00B5440B">
      <w:pPr>
        <w:spacing w:before="0"/>
        <w:ind w:left="1194"/>
        <w:textAlignment w:val="baseline"/>
        <w:rPr>
          <w:rFonts w:ascii="Times New Roman" w:hAnsi="Times New Roman"/>
          <w:snapToGrid/>
          <w:sz w:val="22"/>
          <w:szCs w:val="22"/>
          <w:highlight w:val="lightGray"/>
        </w:rPr>
      </w:pPr>
      <w:r>
        <w:rPr>
          <w:rFonts w:ascii="Times New Roman" w:hAnsi="Times New Roman"/>
          <w:snapToGrid/>
          <w:sz w:val="22"/>
        </w:rPr>
        <w:t>[</w:t>
      </w:r>
      <w:r>
        <w:rPr>
          <w:rFonts w:ascii="Times New Roman" w:hAnsi="Times New Roman"/>
          <w:snapToGrid/>
          <w:sz w:val="22"/>
          <w:highlight w:val="lightGray"/>
        </w:rPr>
        <w:t xml:space="preserve">Direction générale [compléter]]  </w:t>
      </w:r>
    </w:p>
    <w:p w14:paraId="5421C9A2" w14:textId="77777777" w:rsidR="003F3783" w:rsidRPr="003F3783" w:rsidRDefault="003F3783" w:rsidP="00B5440B">
      <w:pPr>
        <w:spacing w:before="0"/>
        <w:ind w:left="1194"/>
        <w:textAlignment w:val="baseline"/>
        <w:rPr>
          <w:rFonts w:ascii="Times New Roman" w:hAnsi="Times New Roman"/>
          <w:snapToGrid/>
          <w:sz w:val="22"/>
          <w:szCs w:val="22"/>
          <w:highlight w:val="lightGray"/>
        </w:rPr>
      </w:pPr>
      <w:r>
        <w:rPr>
          <w:rFonts w:ascii="Times New Roman" w:hAnsi="Times New Roman"/>
          <w:snapToGrid/>
          <w:sz w:val="22"/>
          <w:highlight w:val="lightGray"/>
        </w:rPr>
        <w:t xml:space="preserve">[Direction [compléter]]  </w:t>
      </w:r>
    </w:p>
    <w:p w14:paraId="2F413F3E" w14:textId="77777777" w:rsidR="003F3783" w:rsidRPr="003F3783" w:rsidRDefault="003F3783" w:rsidP="00B5440B">
      <w:pPr>
        <w:spacing w:before="0"/>
        <w:ind w:left="1194"/>
        <w:textAlignment w:val="baseline"/>
        <w:rPr>
          <w:rFonts w:ascii="Times New Roman" w:hAnsi="Times New Roman"/>
          <w:snapToGrid/>
          <w:sz w:val="22"/>
          <w:szCs w:val="22"/>
          <w:highlight w:val="lightGray"/>
        </w:rPr>
      </w:pPr>
      <w:r>
        <w:rPr>
          <w:rFonts w:ascii="Times New Roman" w:hAnsi="Times New Roman"/>
          <w:snapToGrid/>
          <w:sz w:val="22"/>
          <w:highlight w:val="lightGray"/>
        </w:rPr>
        <w:t xml:space="preserve">[Unité [compléter]]  </w:t>
      </w:r>
    </w:p>
    <w:p w14:paraId="7523FCDF" w14:textId="77777777" w:rsidR="003F3783" w:rsidRPr="003F3783" w:rsidRDefault="003F3783" w:rsidP="00B5440B">
      <w:pPr>
        <w:spacing w:before="0"/>
        <w:ind w:left="1194"/>
        <w:textAlignment w:val="baseline"/>
        <w:rPr>
          <w:rFonts w:ascii="Times New Roman" w:hAnsi="Times New Roman"/>
          <w:snapToGrid/>
          <w:sz w:val="22"/>
          <w:szCs w:val="22"/>
          <w:highlight w:val="lightGray"/>
        </w:rPr>
      </w:pPr>
      <w:r>
        <w:rPr>
          <w:rFonts w:ascii="Times New Roman" w:hAnsi="Times New Roman"/>
          <w:snapToGrid/>
          <w:sz w:val="22"/>
          <w:highlight w:val="lightGray"/>
        </w:rPr>
        <w:t xml:space="preserve">[Code postal et ville]  </w:t>
      </w:r>
    </w:p>
    <w:p w14:paraId="00A8DE91" w14:textId="32DCAD8E" w:rsidR="003F3783" w:rsidRPr="003F3783" w:rsidRDefault="003F3783" w:rsidP="00B5440B">
      <w:pPr>
        <w:spacing w:before="0"/>
        <w:ind w:left="1194"/>
        <w:textAlignment w:val="baseline"/>
        <w:rPr>
          <w:rFonts w:ascii="Times New Roman" w:hAnsi="Times New Roman"/>
          <w:snapToGrid/>
          <w:sz w:val="22"/>
          <w:szCs w:val="22"/>
        </w:rPr>
      </w:pPr>
      <w:proofErr w:type="gramStart"/>
      <w:r>
        <w:rPr>
          <w:rFonts w:ascii="Times New Roman" w:hAnsi="Times New Roman"/>
          <w:snapToGrid/>
          <w:sz w:val="22"/>
          <w:highlight w:val="lightGray"/>
        </w:rPr>
        <w:t>Courriel:</w:t>
      </w:r>
      <w:proofErr w:type="gramEnd"/>
      <w:r>
        <w:rPr>
          <w:rFonts w:ascii="Times New Roman" w:hAnsi="Times New Roman"/>
          <w:snapToGrid/>
          <w:sz w:val="22"/>
          <w:highlight w:val="lightGray"/>
        </w:rPr>
        <w:t xml:space="preserve"> [insérer la boîte fonctionnelle]</w:t>
      </w:r>
      <w:r>
        <w:rPr>
          <w:rFonts w:ascii="Times New Roman" w:hAnsi="Times New Roman"/>
          <w:snapToGrid/>
          <w:sz w:val="22"/>
        </w:rPr>
        <w:t xml:space="preserve">  </w:t>
      </w:r>
    </w:p>
    <w:p w14:paraId="34E78C8E" w14:textId="021523FC" w:rsidR="00D7711A" w:rsidRDefault="00D7711A" w:rsidP="00B5440B">
      <w:pPr>
        <w:pStyle w:val="paragraph"/>
        <w:spacing w:before="0" w:beforeAutospacing="0" w:after="120" w:afterAutospacing="0"/>
        <w:ind w:left="1194"/>
        <w:jc w:val="both"/>
        <w:textAlignment w:val="baseline"/>
        <w:rPr>
          <w:sz w:val="22"/>
          <w:szCs w:val="22"/>
        </w:rPr>
      </w:pPr>
      <w:r>
        <w:rPr>
          <w:sz w:val="22"/>
          <w:highlight w:val="lightGray"/>
        </w:rPr>
        <w:t xml:space="preserve">Les factures et les rapports sont envoyés sous format électronique à partir d’une adresse électronique officielle du contractant à l’adresse </w:t>
      </w:r>
      <w:proofErr w:type="gramStart"/>
      <w:r>
        <w:rPr>
          <w:sz w:val="22"/>
          <w:highlight w:val="lightGray"/>
        </w:rPr>
        <w:t>suivante:</w:t>
      </w:r>
      <w:proofErr w:type="gramEnd"/>
      <w:r>
        <w:rPr>
          <w:sz w:val="22"/>
          <w:highlight w:val="lightGray"/>
        </w:rPr>
        <w:t xml:space="preserve"> &lt;courriel: boîte fonctionnelle (unité/section financière)&gt;</w:t>
      </w:r>
      <w:r>
        <w:rPr>
          <w:sz w:val="22"/>
        </w:rPr>
        <w:t xml:space="preserve"> </w:t>
      </w:r>
    </w:p>
    <w:p w14:paraId="251BF19B" w14:textId="31AF2E5F" w:rsidR="000B3D64" w:rsidRPr="00B5440B" w:rsidRDefault="00ED58B7" w:rsidP="00B5440B">
      <w:pPr>
        <w:pStyle w:val="paragraph"/>
        <w:spacing w:before="0" w:beforeAutospacing="0" w:after="240" w:afterAutospacing="0"/>
        <w:ind w:left="1196"/>
        <w:jc w:val="both"/>
        <w:textAlignment w:val="baseline"/>
        <w:rPr>
          <w:sz w:val="22"/>
          <w:szCs w:val="22"/>
        </w:rPr>
      </w:pPr>
      <w:r>
        <w:rPr>
          <w:sz w:val="22"/>
          <w:highlight w:val="lightGray"/>
        </w:rPr>
        <w:t xml:space="preserve">Des copies des rapports sont envoyées sous format électronique à partir d’une adresse électronique officielle du contractant à l’adresse </w:t>
      </w:r>
      <w:proofErr w:type="gramStart"/>
      <w:r>
        <w:rPr>
          <w:sz w:val="22"/>
          <w:highlight w:val="lightGray"/>
        </w:rPr>
        <w:t>suivante:</w:t>
      </w:r>
      <w:proofErr w:type="gramEnd"/>
      <w:r>
        <w:rPr>
          <w:sz w:val="22"/>
        </w:rPr>
        <w:t xml:space="preserve"> </w:t>
      </w:r>
      <w:r>
        <w:rPr>
          <w:sz w:val="22"/>
          <w:highlight w:val="lightGray"/>
        </w:rPr>
        <w:t>&lt; courriel: boîte fonctionnelle &gt; (unité/section gestionnaire)&gt;</w:t>
      </w:r>
      <w:r>
        <w:rPr>
          <w:sz w:val="22"/>
          <w:highlight w:val="yellow"/>
        </w:rPr>
        <w:t>]</w:t>
      </w:r>
    </w:p>
    <w:p w14:paraId="6592EBC5" w14:textId="77777777" w:rsidR="003F3783" w:rsidRPr="003F3783" w:rsidRDefault="003F3783" w:rsidP="003F3783">
      <w:pPr>
        <w:spacing w:before="0" w:after="100" w:afterAutospacing="1"/>
        <w:ind w:left="1194"/>
        <w:textAlignment w:val="baseline"/>
        <w:rPr>
          <w:rFonts w:ascii="Times New Roman" w:hAnsi="Times New Roman"/>
          <w:snapToGrid/>
          <w:sz w:val="22"/>
          <w:szCs w:val="22"/>
          <w:highlight w:val="lightGray"/>
        </w:rPr>
      </w:pPr>
      <w:r>
        <w:rPr>
          <w:rFonts w:ascii="Times New Roman" w:hAnsi="Times New Roman"/>
          <w:snapToGrid/>
          <w:sz w:val="22"/>
          <w:highlight w:val="yellow"/>
        </w:rPr>
        <w:t>[</w:t>
      </w:r>
      <w:proofErr w:type="gramStart"/>
      <w:r>
        <w:rPr>
          <w:rFonts w:ascii="Times New Roman" w:hAnsi="Times New Roman"/>
          <w:snapToGrid/>
          <w:sz w:val="22"/>
          <w:highlight w:val="yellow"/>
        </w:rPr>
        <w:t>en</w:t>
      </w:r>
      <w:proofErr w:type="gramEnd"/>
      <w:r>
        <w:rPr>
          <w:rFonts w:ascii="Times New Roman" w:hAnsi="Times New Roman"/>
          <w:snapToGrid/>
          <w:sz w:val="22"/>
          <w:highlight w:val="yellow"/>
        </w:rPr>
        <w:t xml:space="preserve"> cas de gestion indirecte</w:t>
      </w:r>
      <w:r>
        <w:rPr>
          <w:rFonts w:ascii="Times New Roman" w:hAnsi="Times New Roman"/>
          <w:snapToGrid/>
          <w:sz w:val="22"/>
        </w:rPr>
        <w:t xml:space="preserve">: </w:t>
      </w:r>
      <w:r>
        <w:rPr>
          <w:rFonts w:ascii="Times New Roman" w:hAnsi="Times New Roman"/>
          <w:snapToGrid/>
          <w:sz w:val="22"/>
          <w:highlight w:val="lightGray"/>
        </w:rPr>
        <w:t xml:space="preserve">Pouvoir adjudicateur  </w:t>
      </w:r>
    </w:p>
    <w:p w14:paraId="506BD435" w14:textId="77777777" w:rsidR="003F3783" w:rsidRPr="003F3783" w:rsidRDefault="003F3783" w:rsidP="003F3783">
      <w:pPr>
        <w:spacing w:before="0" w:after="100" w:afterAutospacing="1"/>
        <w:ind w:left="1194"/>
        <w:textAlignment w:val="baseline"/>
        <w:rPr>
          <w:rFonts w:ascii="Times New Roman" w:hAnsi="Times New Roman"/>
          <w:snapToGrid/>
          <w:sz w:val="22"/>
          <w:szCs w:val="22"/>
          <w:highlight w:val="lightGray"/>
        </w:rPr>
      </w:pPr>
      <w:r>
        <w:rPr>
          <w:rFonts w:ascii="Times New Roman" w:hAnsi="Times New Roman"/>
          <w:snapToGrid/>
          <w:sz w:val="22"/>
          <w:highlight w:val="lightGray"/>
        </w:rPr>
        <w:t xml:space="preserve">[Nom complet]  </w:t>
      </w:r>
    </w:p>
    <w:p w14:paraId="53B8E7D2" w14:textId="77777777" w:rsidR="003F3783" w:rsidRPr="003F3783" w:rsidRDefault="003F3783" w:rsidP="003F3783">
      <w:pPr>
        <w:spacing w:before="0" w:after="100" w:afterAutospacing="1"/>
        <w:ind w:left="1194"/>
        <w:textAlignment w:val="baseline"/>
        <w:rPr>
          <w:rFonts w:ascii="Times New Roman" w:hAnsi="Times New Roman"/>
          <w:snapToGrid/>
          <w:sz w:val="22"/>
          <w:szCs w:val="22"/>
          <w:highlight w:val="lightGray"/>
        </w:rPr>
      </w:pPr>
      <w:r>
        <w:rPr>
          <w:rFonts w:ascii="Times New Roman" w:hAnsi="Times New Roman"/>
          <w:snapToGrid/>
          <w:sz w:val="22"/>
          <w:highlight w:val="lightGray"/>
        </w:rPr>
        <w:t xml:space="preserve">[Adresse officielle complète]  </w:t>
      </w:r>
    </w:p>
    <w:p w14:paraId="77A232B6" w14:textId="08F07EF6" w:rsidR="003F3783" w:rsidRPr="003F3783" w:rsidRDefault="003F3783" w:rsidP="00B5440B">
      <w:pPr>
        <w:spacing w:before="0" w:after="240"/>
        <w:ind w:left="1196"/>
        <w:textAlignment w:val="baseline"/>
        <w:rPr>
          <w:rFonts w:ascii="Times New Roman" w:hAnsi="Times New Roman"/>
          <w:snapToGrid/>
          <w:sz w:val="22"/>
          <w:szCs w:val="22"/>
        </w:rPr>
      </w:pPr>
      <w:r>
        <w:rPr>
          <w:rFonts w:ascii="Times New Roman" w:hAnsi="Times New Roman"/>
          <w:snapToGrid/>
          <w:sz w:val="22"/>
          <w:highlight w:val="lightGray"/>
        </w:rPr>
        <w:t>[</w:t>
      </w:r>
      <w:proofErr w:type="gramStart"/>
      <w:r>
        <w:rPr>
          <w:rFonts w:ascii="Times New Roman" w:hAnsi="Times New Roman"/>
          <w:snapToGrid/>
          <w:sz w:val="22"/>
          <w:highlight w:val="lightGray"/>
        </w:rPr>
        <w:t>Courriel:</w:t>
      </w:r>
      <w:proofErr w:type="gramEnd"/>
      <w:r>
        <w:rPr>
          <w:rFonts w:ascii="Times New Roman" w:hAnsi="Times New Roman"/>
          <w:snapToGrid/>
          <w:sz w:val="22"/>
          <w:highlight w:val="lightGray"/>
        </w:rPr>
        <w:t xml:space="preserve"> [compléter]] </w:t>
      </w:r>
      <w:r>
        <w:rPr>
          <w:rFonts w:ascii="Times New Roman" w:hAnsi="Times New Roman"/>
          <w:snapToGrid/>
          <w:sz w:val="22"/>
          <w:highlight w:val="yellow"/>
        </w:rPr>
        <w:t>]</w:t>
      </w:r>
    </w:p>
    <w:p w14:paraId="6BBB6A0E" w14:textId="77777777" w:rsidR="003F3783" w:rsidRPr="003F3783" w:rsidRDefault="003F3783" w:rsidP="003F3783">
      <w:pPr>
        <w:spacing w:before="100" w:beforeAutospacing="1" w:after="100" w:afterAutospacing="1"/>
        <w:ind w:left="1194"/>
        <w:textAlignment w:val="baseline"/>
        <w:rPr>
          <w:rFonts w:ascii="Times New Roman" w:hAnsi="Times New Roman"/>
          <w:snapToGrid/>
          <w:sz w:val="22"/>
          <w:szCs w:val="22"/>
        </w:rPr>
      </w:pPr>
      <w:r>
        <w:rPr>
          <w:rFonts w:ascii="Times New Roman" w:hAnsi="Times New Roman"/>
          <w:snapToGrid/>
          <w:sz w:val="22"/>
        </w:rPr>
        <w:t>Contractant (ou chef de file dans le cas d’une offre conjointe</w:t>
      </w:r>
      <w:proofErr w:type="gramStart"/>
      <w:r>
        <w:rPr>
          <w:rFonts w:ascii="Times New Roman" w:hAnsi="Times New Roman"/>
          <w:snapToGrid/>
          <w:sz w:val="22"/>
        </w:rPr>
        <w:t>):</w:t>
      </w:r>
      <w:proofErr w:type="gramEnd"/>
      <w:r>
        <w:rPr>
          <w:rFonts w:ascii="Times New Roman" w:hAnsi="Times New Roman"/>
          <w:snapToGrid/>
          <w:sz w:val="22"/>
        </w:rPr>
        <w:t> </w:t>
      </w:r>
    </w:p>
    <w:p w14:paraId="0FE088EF" w14:textId="77777777" w:rsidR="003F3783" w:rsidRPr="002F3C0E" w:rsidRDefault="003F3783" w:rsidP="003F3783">
      <w:pPr>
        <w:spacing w:before="0" w:after="100" w:afterAutospacing="1"/>
        <w:ind w:left="1194"/>
        <w:textAlignment w:val="baseline"/>
        <w:rPr>
          <w:rFonts w:ascii="Times New Roman" w:hAnsi="Times New Roman"/>
          <w:snapToGrid/>
          <w:sz w:val="22"/>
          <w:szCs w:val="22"/>
        </w:rPr>
      </w:pPr>
      <w:r>
        <w:rPr>
          <w:rFonts w:ascii="Times New Roman" w:hAnsi="Times New Roman"/>
          <w:snapToGrid/>
          <w:sz w:val="22"/>
        </w:rPr>
        <w:t>[</w:t>
      </w:r>
      <w:r>
        <w:rPr>
          <w:rFonts w:ascii="Times New Roman" w:hAnsi="Times New Roman"/>
          <w:snapToGrid/>
          <w:sz w:val="22"/>
          <w:shd w:val="clear" w:color="auto" w:fill="C0C0C0"/>
        </w:rPr>
        <w:t>Nom complet</w:t>
      </w:r>
      <w:r>
        <w:rPr>
          <w:rFonts w:ascii="Times New Roman" w:hAnsi="Times New Roman"/>
          <w:snapToGrid/>
          <w:sz w:val="22"/>
        </w:rPr>
        <w:t>] </w:t>
      </w:r>
    </w:p>
    <w:p w14:paraId="33F1F764" w14:textId="77777777" w:rsidR="003F3783" w:rsidRPr="002F3C0E" w:rsidRDefault="003F3783" w:rsidP="003F3783">
      <w:pPr>
        <w:spacing w:before="0" w:after="100" w:afterAutospacing="1"/>
        <w:ind w:left="1194"/>
        <w:textAlignment w:val="baseline"/>
        <w:rPr>
          <w:rFonts w:ascii="Times New Roman" w:hAnsi="Times New Roman"/>
          <w:snapToGrid/>
          <w:sz w:val="22"/>
          <w:szCs w:val="22"/>
        </w:rPr>
      </w:pPr>
      <w:r>
        <w:rPr>
          <w:rFonts w:ascii="Times New Roman" w:hAnsi="Times New Roman"/>
          <w:snapToGrid/>
          <w:sz w:val="22"/>
        </w:rPr>
        <w:t>[</w:t>
      </w:r>
      <w:r>
        <w:rPr>
          <w:rFonts w:ascii="Times New Roman" w:hAnsi="Times New Roman"/>
          <w:snapToGrid/>
          <w:sz w:val="22"/>
          <w:shd w:val="clear" w:color="auto" w:fill="C0C0C0"/>
        </w:rPr>
        <w:t>Fonction</w:t>
      </w:r>
      <w:r>
        <w:rPr>
          <w:rFonts w:ascii="Times New Roman" w:hAnsi="Times New Roman"/>
          <w:snapToGrid/>
          <w:sz w:val="22"/>
        </w:rPr>
        <w:t>] </w:t>
      </w:r>
    </w:p>
    <w:p w14:paraId="64AC8481" w14:textId="77777777" w:rsidR="003F3783" w:rsidRPr="002F3C0E" w:rsidRDefault="003F3783" w:rsidP="003F3783">
      <w:pPr>
        <w:spacing w:before="0" w:after="100" w:afterAutospacing="1"/>
        <w:ind w:left="1194"/>
        <w:textAlignment w:val="baseline"/>
        <w:rPr>
          <w:rFonts w:ascii="Times New Roman" w:hAnsi="Times New Roman"/>
          <w:snapToGrid/>
          <w:sz w:val="22"/>
          <w:szCs w:val="22"/>
        </w:rPr>
      </w:pPr>
      <w:r>
        <w:rPr>
          <w:rFonts w:ascii="Times New Roman" w:hAnsi="Times New Roman"/>
          <w:snapToGrid/>
          <w:sz w:val="22"/>
        </w:rPr>
        <w:t>[</w:t>
      </w:r>
      <w:r>
        <w:rPr>
          <w:rFonts w:ascii="Times New Roman" w:hAnsi="Times New Roman"/>
          <w:snapToGrid/>
          <w:sz w:val="22"/>
          <w:shd w:val="clear" w:color="auto" w:fill="C0C0C0"/>
        </w:rPr>
        <w:t>Raison sociale</w:t>
      </w:r>
      <w:r>
        <w:rPr>
          <w:rFonts w:ascii="Times New Roman" w:hAnsi="Times New Roman"/>
          <w:snapToGrid/>
          <w:sz w:val="22"/>
        </w:rPr>
        <w:t>] </w:t>
      </w:r>
    </w:p>
    <w:p w14:paraId="49642626" w14:textId="77777777" w:rsidR="003F3783" w:rsidRPr="002F3C0E" w:rsidRDefault="003F3783" w:rsidP="003F3783">
      <w:pPr>
        <w:spacing w:before="0" w:after="100" w:afterAutospacing="1"/>
        <w:ind w:left="1194"/>
        <w:textAlignment w:val="baseline"/>
        <w:rPr>
          <w:rFonts w:ascii="Times New Roman" w:hAnsi="Times New Roman"/>
          <w:snapToGrid/>
          <w:sz w:val="22"/>
          <w:szCs w:val="22"/>
        </w:rPr>
      </w:pPr>
      <w:r>
        <w:rPr>
          <w:rFonts w:ascii="Times New Roman" w:hAnsi="Times New Roman"/>
          <w:snapToGrid/>
          <w:sz w:val="22"/>
        </w:rPr>
        <w:lastRenderedPageBreak/>
        <w:t>[</w:t>
      </w:r>
      <w:r>
        <w:rPr>
          <w:rFonts w:ascii="Times New Roman" w:hAnsi="Times New Roman"/>
          <w:snapToGrid/>
          <w:sz w:val="22"/>
          <w:shd w:val="clear" w:color="auto" w:fill="C0C0C0"/>
        </w:rPr>
        <w:t>Adresse officielle complète</w:t>
      </w:r>
      <w:r>
        <w:rPr>
          <w:rFonts w:ascii="Times New Roman" w:hAnsi="Times New Roman"/>
          <w:snapToGrid/>
          <w:sz w:val="22"/>
        </w:rPr>
        <w:t>] </w:t>
      </w:r>
    </w:p>
    <w:p w14:paraId="22185F1E" w14:textId="77777777" w:rsidR="003F3783" w:rsidRPr="002F3C0E" w:rsidRDefault="003F3783" w:rsidP="003F3783">
      <w:pPr>
        <w:spacing w:before="0" w:after="100" w:afterAutospacing="1"/>
        <w:ind w:left="1194"/>
        <w:textAlignment w:val="baseline"/>
        <w:rPr>
          <w:rFonts w:ascii="Times New Roman" w:hAnsi="Times New Roman"/>
          <w:snapToGrid/>
          <w:sz w:val="22"/>
          <w:szCs w:val="22"/>
        </w:rPr>
      </w:pPr>
      <w:proofErr w:type="gramStart"/>
      <w:r>
        <w:rPr>
          <w:rFonts w:ascii="Times New Roman" w:hAnsi="Times New Roman"/>
          <w:snapToGrid/>
          <w:sz w:val="22"/>
        </w:rPr>
        <w:t>Courriel:</w:t>
      </w:r>
      <w:proofErr w:type="gramEnd"/>
      <w:r>
        <w:rPr>
          <w:rFonts w:ascii="Times New Roman" w:hAnsi="Times New Roman"/>
          <w:snapToGrid/>
          <w:sz w:val="22"/>
        </w:rPr>
        <w:t xml:space="preserve"> [</w:t>
      </w:r>
      <w:r>
        <w:rPr>
          <w:rFonts w:ascii="Times New Roman" w:hAnsi="Times New Roman"/>
          <w:snapToGrid/>
          <w:sz w:val="22"/>
          <w:shd w:val="clear" w:color="auto" w:fill="C0C0C0"/>
        </w:rPr>
        <w:t>compléter</w:t>
      </w:r>
      <w:r>
        <w:rPr>
          <w:rFonts w:ascii="Times New Roman" w:hAnsi="Times New Roman"/>
          <w:snapToGrid/>
          <w:sz w:val="22"/>
        </w:rPr>
        <w:t>] </w:t>
      </w:r>
    </w:p>
    <w:bookmarkEnd w:id="8"/>
    <w:p w14:paraId="0080E9EE" w14:textId="77777777" w:rsidR="0047783A" w:rsidRPr="003D6B6C" w:rsidRDefault="0049293D" w:rsidP="004F7A0E">
      <w:pPr>
        <w:spacing w:before="240"/>
        <w:ind w:left="1134" w:hanging="1134"/>
        <w:jc w:val="both"/>
        <w:rPr>
          <w:rFonts w:ascii="Times New Roman" w:hAnsi="Times New Roman"/>
          <w:b/>
          <w:sz w:val="24"/>
          <w:szCs w:val="24"/>
        </w:rPr>
      </w:pPr>
      <w:r>
        <w:rPr>
          <w:rFonts w:ascii="Times New Roman" w:hAnsi="Times New Roman"/>
          <w:b/>
          <w:sz w:val="24"/>
        </w:rPr>
        <w:t>[</w:t>
      </w:r>
      <w:r>
        <w:rPr>
          <w:rFonts w:ascii="Times New Roman" w:hAnsi="Times New Roman"/>
          <w:b/>
          <w:sz w:val="24"/>
          <w:highlight w:val="lightGray"/>
        </w:rPr>
        <w:t>Article 6</w:t>
      </w:r>
      <w:r>
        <w:rPr>
          <w:rFonts w:ascii="Times New Roman" w:hAnsi="Times New Roman"/>
          <w:b/>
          <w:sz w:val="24"/>
          <w:highlight w:val="lightGray"/>
        </w:rPr>
        <w:tab/>
        <w:t>Sous-traitance</w:t>
      </w:r>
    </w:p>
    <w:p w14:paraId="6C9B0B7A" w14:textId="626C4B56" w:rsidR="0047783A" w:rsidRPr="003D6B6C" w:rsidRDefault="00923EDA" w:rsidP="004F7A0E">
      <w:pPr>
        <w:widowControl w:val="0"/>
        <w:ind w:left="1134" w:hanging="567"/>
        <w:jc w:val="both"/>
        <w:rPr>
          <w:rFonts w:ascii="Times New Roman" w:hAnsi="Times New Roman"/>
          <w:sz w:val="22"/>
          <w:szCs w:val="22"/>
        </w:rPr>
      </w:pPr>
      <w:r>
        <w:rPr>
          <w:rFonts w:ascii="Times New Roman" w:hAnsi="Times New Roman"/>
          <w:sz w:val="22"/>
        </w:rPr>
        <w:t>6.3</w:t>
      </w:r>
      <w:r>
        <w:rPr>
          <w:rFonts w:ascii="Times New Roman" w:hAnsi="Times New Roman"/>
          <w:sz w:val="22"/>
        </w:rPr>
        <w:tab/>
      </w:r>
      <w:r>
        <w:rPr>
          <w:rFonts w:ascii="Times New Roman" w:hAnsi="Times New Roman"/>
          <w:sz w:val="22"/>
          <w:highlight w:val="yellow"/>
        </w:rPr>
        <w:t xml:space="preserve">FED </w:t>
      </w:r>
      <w:proofErr w:type="gramStart"/>
      <w:r>
        <w:rPr>
          <w:rFonts w:ascii="Times New Roman" w:hAnsi="Times New Roman"/>
          <w:sz w:val="22"/>
          <w:highlight w:val="yellow"/>
        </w:rPr>
        <w:t>uniquement:</w:t>
      </w:r>
      <w:proofErr w:type="gramEnd"/>
      <w:r>
        <w:rPr>
          <w:rFonts w:ascii="Times New Roman" w:hAnsi="Times New Roman"/>
          <w:sz w:val="22"/>
        </w:rPr>
        <w:t xml:space="preserve"> </w:t>
      </w:r>
      <w:r>
        <w:rPr>
          <w:rFonts w:ascii="Times New Roman" w:hAnsi="Times New Roman"/>
          <w:sz w:val="22"/>
          <w:highlight w:val="lightGray"/>
        </w:rPr>
        <w:t>Lors de la sélection des sous-traitants, le contractant donne la préférence aux personnes physiques, sociétés et entreprises des États ACP capables d’exécuter le marché dans les mêmes conditions.</w:t>
      </w:r>
      <w:r>
        <w:rPr>
          <w:rFonts w:ascii="Times New Roman" w:hAnsi="Times New Roman"/>
          <w:sz w:val="22"/>
        </w:rPr>
        <w:t>]</w:t>
      </w:r>
    </w:p>
    <w:p w14:paraId="1314341F" w14:textId="77777777" w:rsidR="0047783A" w:rsidRPr="003D6B6C" w:rsidRDefault="0047783A" w:rsidP="00B5440B">
      <w:pPr>
        <w:keepNext/>
        <w:spacing w:before="240"/>
        <w:ind w:left="1134" w:hanging="1134"/>
        <w:jc w:val="both"/>
        <w:rPr>
          <w:rFonts w:ascii="Times New Roman" w:hAnsi="Times New Roman"/>
          <w:b/>
          <w:sz w:val="24"/>
          <w:szCs w:val="24"/>
        </w:rPr>
      </w:pPr>
      <w:bookmarkStart w:id="9" w:name="_Toc124934898"/>
      <w:r>
        <w:rPr>
          <w:rFonts w:ascii="Times New Roman" w:hAnsi="Times New Roman"/>
          <w:b/>
          <w:sz w:val="24"/>
        </w:rPr>
        <w:t>Article 7</w:t>
      </w:r>
      <w:r>
        <w:rPr>
          <w:rFonts w:ascii="Times New Roman" w:hAnsi="Times New Roman"/>
          <w:b/>
          <w:sz w:val="24"/>
        </w:rPr>
        <w:tab/>
        <w:t>Documents à fournir</w:t>
      </w:r>
      <w:bookmarkEnd w:id="9"/>
    </w:p>
    <w:p w14:paraId="09203E64" w14:textId="77777777" w:rsidR="0047783A" w:rsidRPr="003D6B6C" w:rsidRDefault="0047783A" w:rsidP="00B34179">
      <w:pPr>
        <w:jc w:val="both"/>
        <w:rPr>
          <w:rFonts w:ascii="Times New Roman" w:hAnsi="Times New Roman"/>
          <w:b/>
          <w:sz w:val="22"/>
          <w:szCs w:val="22"/>
        </w:rPr>
      </w:pPr>
      <w:r>
        <w:rPr>
          <w:rFonts w:ascii="Times New Roman" w:hAnsi="Times New Roman"/>
          <w:sz w:val="22"/>
        </w:rPr>
        <w:t>&lt;</w:t>
      </w:r>
      <w:r>
        <w:rPr>
          <w:rFonts w:ascii="Times New Roman" w:hAnsi="Times New Roman"/>
          <w:sz w:val="22"/>
          <w:highlight w:val="yellow"/>
        </w:rPr>
        <w:t>Préciser ici les documents et plans à fournir ainsi que, si nécessaire, la procédure utilisée par le pouvoir adjudicateur et le gestionnaire de projet pour approuver les plans et autres documents fournis par le contractant</w:t>
      </w:r>
      <w:r>
        <w:rPr>
          <w:rFonts w:ascii="Times New Roman" w:hAnsi="Times New Roman"/>
          <w:sz w:val="22"/>
        </w:rPr>
        <w:t>&gt;</w:t>
      </w:r>
    </w:p>
    <w:p w14:paraId="35062D7D" w14:textId="77777777" w:rsidR="0047783A" w:rsidRPr="003D6B6C" w:rsidRDefault="0047783A" w:rsidP="00B34179">
      <w:pPr>
        <w:spacing w:before="240"/>
        <w:ind w:left="1134" w:hanging="1134"/>
        <w:jc w:val="both"/>
        <w:rPr>
          <w:rFonts w:ascii="Times New Roman" w:hAnsi="Times New Roman"/>
          <w:b/>
          <w:sz w:val="24"/>
          <w:szCs w:val="24"/>
        </w:rPr>
      </w:pPr>
      <w:bookmarkStart w:id="10" w:name="_Toc124934899"/>
      <w:r>
        <w:rPr>
          <w:rFonts w:ascii="Times New Roman" w:hAnsi="Times New Roman"/>
          <w:b/>
          <w:sz w:val="24"/>
        </w:rPr>
        <w:t>Article 8</w:t>
      </w:r>
      <w:r>
        <w:rPr>
          <w:rFonts w:ascii="Times New Roman" w:hAnsi="Times New Roman"/>
          <w:b/>
          <w:sz w:val="24"/>
        </w:rPr>
        <w:tab/>
        <w:t>Aide en matière de réglementation locale</w:t>
      </w:r>
      <w:bookmarkEnd w:id="10"/>
    </w:p>
    <w:p w14:paraId="490BDFDD" w14:textId="77777777" w:rsidR="0047783A" w:rsidRPr="003D6B6C" w:rsidRDefault="0047783A" w:rsidP="00B34179">
      <w:pPr>
        <w:jc w:val="both"/>
        <w:rPr>
          <w:rFonts w:ascii="Times New Roman" w:hAnsi="Times New Roman"/>
          <w:sz w:val="22"/>
          <w:szCs w:val="22"/>
        </w:rPr>
      </w:pPr>
      <w:r>
        <w:rPr>
          <w:rFonts w:ascii="Times New Roman" w:hAnsi="Times New Roman"/>
          <w:sz w:val="22"/>
        </w:rPr>
        <w:t>&lt;</w:t>
      </w:r>
      <w:r>
        <w:rPr>
          <w:rFonts w:ascii="Times New Roman" w:hAnsi="Times New Roman"/>
          <w:sz w:val="22"/>
          <w:highlight w:val="yellow"/>
        </w:rPr>
        <w:t>Préciser les procédures d’obtention des permis, visas, autorisations ou licences ou, tout au moins, indiquer les textes de référence pertinents, le cas échéant</w:t>
      </w:r>
      <w:r>
        <w:rPr>
          <w:rFonts w:ascii="Times New Roman" w:hAnsi="Times New Roman"/>
          <w:sz w:val="22"/>
        </w:rPr>
        <w:t>&gt;</w:t>
      </w:r>
    </w:p>
    <w:p w14:paraId="6797F7C0" w14:textId="77777777" w:rsidR="00E0396B" w:rsidRPr="00B5440B" w:rsidRDefault="00E0396B" w:rsidP="00FE689C">
      <w:pPr>
        <w:tabs>
          <w:tab w:val="left" w:pos="1134"/>
        </w:tabs>
        <w:jc w:val="both"/>
        <w:rPr>
          <w:rFonts w:ascii="Times New Roman" w:hAnsi="Times New Roman"/>
          <w:b/>
          <w:sz w:val="24"/>
          <w:szCs w:val="24"/>
        </w:rPr>
      </w:pPr>
      <w:r>
        <w:rPr>
          <w:rFonts w:ascii="Times New Roman" w:hAnsi="Times New Roman"/>
          <w:b/>
          <w:sz w:val="24"/>
        </w:rPr>
        <w:t>Article 9</w:t>
      </w:r>
      <w:r>
        <w:rPr>
          <w:rFonts w:ascii="Times New Roman" w:hAnsi="Times New Roman"/>
          <w:b/>
          <w:sz w:val="24"/>
        </w:rPr>
        <w:tab/>
        <w:t>Obligations générales</w:t>
      </w:r>
    </w:p>
    <w:p w14:paraId="4C08721E" w14:textId="1DF02949" w:rsidR="00E0396B" w:rsidRPr="003D6B6C" w:rsidRDefault="00E0396B" w:rsidP="006B5E82">
      <w:pPr>
        <w:tabs>
          <w:tab w:val="left" w:pos="426"/>
        </w:tabs>
        <w:ind w:left="1134" w:right="-2" w:hanging="708"/>
        <w:jc w:val="both"/>
        <w:rPr>
          <w:rFonts w:ascii="Times New Roman" w:hAnsi="Times New Roman"/>
          <w:sz w:val="22"/>
          <w:szCs w:val="22"/>
        </w:rPr>
      </w:pPr>
      <w:r>
        <w:rPr>
          <w:rFonts w:ascii="Times New Roman" w:hAnsi="Times New Roman"/>
          <w:sz w:val="22"/>
        </w:rPr>
        <w:t>9.9</w:t>
      </w:r>
      <w:r>
        <w:rPr>
          <w:rFonts w:ascii="Times New Roman" w:hAnsi="Times New Roman"/>
          <w:sz w:val="22"/>
        </w:rPr>
        <w:tab/>
        <w:t>&lt;</w:t>
      </w:r>
      <w:r>
        <w:rPr>
          <w:rFonts w:ascii="Times New Roman" w:hAnsi="Times New Roman"/>
          <w:sz w:val="22"/>
          <w:highlight w:val="yellow"/>
        </w:rPr>
        <w:t>Préciser les activités spécifiques à mettre en place par le contractant en vue de se conformer à son obligation minimale de visibilité et, le cas échéant, les activités de communication supplémentaires convenues avec la Commission européenne. Ces activités doivent être conformes aux exigences les plus récentes en matière de communication et de visibilité applicables aux actions extérieures financées par l’UE, définies et publiées par la Commission européenne.</w:t>
      </w:r>
      <w:r>
        <w:rPr>
          <w:rFonts w:ascii="Times New Roman" w:hAnsi="Times New Roman"/>
          <w:sz w:val="22"/>
        </w:rPr>
        <w:t>&gt;</w:t>
      </w:r>
    </w:p>
    <w:p w14:paraId="7B0EBBEA" w14:textId="77777777" w:rsidR="0047783A" w:rsidRPr="003D6B6C" w:rsidRDefault="0047783A" w:rsidP="001B55AC">
      <w:pPr>
        <w:keepNext/>
        <w:spacing w:before="240"/>
        <w:ind w:left="1134" w:hanging="1134"/>
        <w:jc w:val="both"/>
        <w:rPr>
          <w:rFonts w:ascii="Times New Roman" w:hAnsi="Times New Roman"/>
          <w:b/>
          <w:sz w:val="24"/>
          <w:szCs w:val="24"/>
        </w:rPr>
      </w:pPr>
      <w:bookmarkStart w:id="11" w:name="_Toc124934900"/>
      <w:r>
        <w:rPr>
          <w:rFonts w:ascii="Times New Roman" w:hAnsi="Times New Roman"/>
          <w:b/>
          <w:sz w:val="24"/>
        </w:rPr>
        <w:t>Article 10</w:t>
      </w:r>
      <w:r>
        <w:rPr>
          <w:rFonts w:ascii="Times New Roman" w:hAnsi="Times New Roman"/>
          <w:b/>
          <w:sz w:val="24"/>
        </w:rPr>
        <w:tab/>
        <w:t>Origine</w:t>
      </w:r>
      <w:bookmarkEnd w:id="11"/>
    </w:p>
    <w:p w14:paraId="15627E38" w14:textId="02A60031" w:rsidR="00683E34" w:rsidRDefault="0047783A" w:rsidP="00B5440B">
      <w:pPr>
        <w:pStyle w:val="Heading2"/>
        <w:keepNext w:val="0"/>
        <w:numPr>
          <w:ilvl w:val="1"/>
          <w:numId w:val="0"/>
        </w:numPr>
        <w:spacing w:before="0"/>
        <w:ind w:left="1134" w:hanging="708"/>
        <w:jc w:val="both"/>
        <w:rPr>
          <w:rFonts w:ascii="Times New Roman" w:hAnsi="Times New Roman"/>
          <w:sz w:val="22"/>
          <w:szCs w:val="22"/>
        </w:rPr>
      </w:pPr>
      <w:r>
        <w:rPr>
          <w:rFonts w:ascii="Times New Roman" w:hAnsi="Times New Roman"/>
          <w:sz w:val="22"/>
        </w:rPr>
        <w:t>10.1</w:t>
      </w:r>
      <w:r>
        <w:rPr>
          <w:rFonts w:ascii="Times New Roman" w:hAnsi="Times New Roman"/>
          <w:sz w:val="22"/>
        </w:rPr>
        <w:tab/>
      </w:r>
      <w:r>
        <w:rPr>
          <w:rFonts w:ascii="Times New Roman" w:hAnsi="Times New Roman"/>
          <w:sz w:val="22"/>
          <w:highlight w:val="yellow"/>
        </w:rPr>
        <w:t xml:space="preserve">[En vertu du cadre financier pluriannuel 2014-2020 (marchés/lots inférieurs à 100 000 EUR au titre du règlement commun de mise en œuvre) et du cadre financier pluriannuel 2021-2027, à l’exception du règlement 2021/948 du 27 mai 2021 instituant l’ICSN et du règlement 2024/792 du 29 février 2024 établissant la facilité pour </w:t>
      </w:r>
      <w:proofErr w:type="gramStart"/>
      <w:r>
        <w:rPr>
          <w:rFonts w:ascii="Times New Roman" w:hAnsi="Times New Roman"/>
          <w:sz w:val="22"/>
          <w:highlight w:val="yellow"/>
        </w:rPr>
        <w:t>l’Ukraine:</w:t>
      </w:r>
      <w:proofErr w:type="gramEnd"/>
      <w:r>
        <w:rPr>
          <w:rFonts w:ascii="inherit" w:hAnsi="inherit"/>
          <w:color w:val="444444"/>
          <w:sz w:val="17"/>
          <w:shd w:val="clear" w:color="auto" w:fill="FFFFFF"/>
        </w:rPr>
        <w:t xml:space="preserve"> </w:t>
      </w:r>
      <w:r>
        <w:rPr>
          <w:rFonts w:ascii="Times New Roman" w:hAnsi="Times New Roman"/>
          <w:sz w:val="22"/>
          <w:highlight w:val="lightGray"/>
        </w:rPr>
        <w:t>Tous les biens achetés peuvent provenir de n’importe quel pays.]</w:t>
      </w:r>
      <w:r>
        <w:rPr>
          <w:rFonts w:ascii="Times New Roman" w:hAnsi="Times New Roman"/>
          <w:sz w:val="22"/>
        </w:rPr>
        <w:t xml:space="preserve"> </w:t>
      </w:r>
    </w:p>
    <w:p w14:paraId="064F3D18" w14:textId="4E850551" w:rsidR="0043240C" w:rsidRDefault="00683E34" w:rsidP="00B5440B">
      <w:pPr>
        <w:pStyle w:val="Heading2"/>
        <w:keepNext w:val="0"/>
        <w:numPr>
          <w:ilvl w:val="1"/>
          <w:numId w:val="0"/>
        </w:numPr>
        <w:spacing w:before="0"/>
        <w:ind w:left="1134"/>
        <w:jc w:val="both"/>
        <w:rPr>
          <w:rFonts w:ascii="Times New Roman" w:hAnsi="Times New Roman"/>
          <w:sz w:val="22"/>
          <w:szCs w:val="22"/>
          <w:highlight w:val="lightGray"/>
        </w:rPr>
      </w:pPr>
      <w:r>
        <w:rPr>
          <w:rFonts w:ascii="Times New Roman" w:hAnsi="Times New Roman"/>
          <w:highlight w:val="yellow"/>
        </w:rPr>
        <w:t>[</w:t>
      </w:r>
      <w:r>
        <w:rPr>
          <w:rFonts w:ascii="Times New Roman" w:hAnsi="Times New Roman"/>
          <w:sz w:val="22"/>
          <w:highlight w:val="yellow"/>
        </w:rPr>
        <w:t>En vertu du règlement 2021/948 du 27 mai 2021 instituant l’ICSN au titre du cadre financier pluriannuel 2021-</w:t>
      </w:r>
      <w:proofErr w:type="gramStart"/>
      <w:r>
        <w:rPr>
          <w:rFonts w:ascii="Times New Roman" w:hAnsi="Times New Roman"/>
          <w:sz w:val="22"/>
          <w:highlight w:val="yellow"/>
        </w:rPr>
        <w:t>2027:</w:t>
      </w:r>
      <w:proofErr w:type="gramEnd"/>
      <w:r>
        <w:rPr>
          <w:rFonts w:ascii="Times New Roman" w:hAnsi="Times New Roman"/>
          <w:sz w:val="22"/>
        </w:rPr>
        <w:t xml:space="preserve"> </w:t>
      </w:r>
      <w:r>
        <w:rPr>
          <w:rFonts w:ascii="Times New Roman" w:hAnsi="Times New Roman"/>
          <w:sz w:val="22"/>
          <w:highlight w:val="lightGray"/>
        </w:rPr>
        <w:t>Tous les biens achetés doivent provenir d’un des pays éligibles mentionnés dans le règlement 2021/948 du 27 mai 2021 instituant l’ICSN. Aux fins de la présente disposition, l</w:t>
      </w:r>
      <w:proofErr w:type="gramStart"/>
      <w:r>
        <w:rPr>
          <w:rFonts w:ascii="Times New Roman" w:hAnsi="Times New Roman"/>
          <w:sz w:val="22"/>
          <w:highlight w:val="lightGray"/>
        </w:rPr>
        <w:t>’«origine</w:t>
      </w:r>
      <w:proofErr w:type="gramEnd"/>
      <w:r>
        <w:rPr>
          <w:rFonts w:ascii="Times New Roman" w:hAnsi="Times New Roman"/>
          <w:sz w:val="22"/>
          <w:highlight w:val="lightGray"/>
        </w:rPr>
        <w:t>» signifie l’endroit où les biens sont extraits, cultivés, produits ou manufacturés. L’origine des biens doit être déterminée en accord avec les codes des douanes de l’Union européenne ou de la convention internationale applicable en l’espèce</w:t>
      </w:r>
      <w:proofErr w:type="gramStart"/>
      <w:r>
        <w:rPr>
          <w:rFonts w:ascii="Times New Roman" w:hAnsi="Times New Roman"/>
          <w:sz w:val="22"/>
          <w:highlight w:val="lightGray"/>
        </w:rPr>
        <w:t>. ]</w:t>
      </w:r>
      <w:proofErr w:type="gramEnd"/>
    </w:p>
    <w:p w14:paraId="5BE7282D" w14:textId="6E012630" w:rsidR="00683E34" w:rsidRDefault="0043240C" w:rsidP="00B5440B">
      <w:pPr>
        <w:pStyle w:val="Heading2"/>
        <w:keepNext w:val="0"/>
        <w:numPr>
          <w:ilvl w:val="1"/>
          <w:numId w:val="0"/>
        </w:numPr>
        <w:spacing w:before="0"/>
        <w:ind w:left="1134"/>
        <w:jc w:val="both"/>
        <w:rPr>
          <w:rFonts w:ascii="Times New Roman" w:hAnsi="Times New Roman"/>
          <w:sz w:val="22"/>
          <w:szCs w:val="22"/>
        </w:rPr>
      </w:pPr>
      <w:r>
        <w:rPr>
          <w:rFonts w:ascii="Times New Roman" w:hAnsi="Times New Roman"/>
          <w:sz w:val="22"/>
          <w:highlight w:val="lightGray"/>
        </w:rPr>
        <w:t>Un certificat d’origine des biens devra être produit par le contractant, au plus tard en même temps que sa demande de réception provisoire des biens. Le manquement à cette condition peut aboutir à la résiliation du marché et/ou à la suspension des paiements.]</w:t>
      </w:r>
    </w:p>
    <w:p w14:paraId="590083A9" w14:textId="3F990C38" w:rsidR="002B3B4D" w:rsidRDefault="002B3B4D" w:rsidP="00B5440B">
      <w:pPr>
        <w:pStyle w:val="paragraph"/>
        <w:spacing w:before="0" w:beforeAutospacing="0" w:after="120" w:afterAutospacing="0" w:line="240" w:lineRule="atLeast"/>
        <w:ind w:left="1134"/>
        <w:jc w:val="both"/>
        <w:textAlignment w:val="baseline"/>
        <w:rPr>
          <w:sz w:val="22"/>
          <w:szCs w:val="22"/>
          <w:highlight w:val="lightGray"/>
        </w:rPr>
      </w:pPr>
      <w:bookmarkStart w:id="12" w:name="_Hlk167461675"/>
      <w:r>
        <w:rPr>
          <w:sz w:val="22"/>
          <w:highlight w:val="yellow"/>
        </w:rPr>
        <w:t xml:space="preserve">[Pour le </w:t>
      </w:r>
      <w:bookmarkStart w:id="13" w:name="_Hlk167462022"/>
      <w:r>
        <w:rPr>
          <w:sz w:val="22"/>
          <w:highlight w:val="yellow"/>
        </w:rPr>
        <w:t>règlement 2024/792 du 29 février 2024</w:t>
      </w:r>
      <w:r w:rsidRPr="002B3B4D">
        <w:rPr>
          <w:rStyle w:val="FootnoteReference"/>
          <w:highlight w:val="yellow"/>
        </w:rPr>
        <w:footnoteReference w:id="1"/>
      </w:r>
      <w:r>
        <w:rPr>
          <w:sz w:val="22"/>
          <w:highlight w:val="yellow"/>
        </w:rPr>
        <w:t xml:space="preserve"> </w:t>
      </w:r>
      <w:bookmarkStart w:id="14" w:name="_Hlk167461870"/>
      <w:r>
        <w:rPr>
          <w:sz w:val="22"/>
          <w:highlight w:val="yellow"/>
        </w:rPr>
        <w:t xml:space="preserve">établissant la facilité pour </w:t>
      </w:r>
      <w:proofErr w:type="gramStart"/>
      <w:r>
        <w:rPr>
          <w:sz w:val="22"/>
          <w:highlight w:val="yellow"/>
        </w:rPr>
        <w:t>l’Ukraine</w:t>
      </w:r>
      <w:bookmarkEnd w:id="14"/>
      <w:bookmarkEnd w:id="13"/>
      <w:r>
        <w:rPr>
          <w:sz w:val="22"/>
          <w:highlight w:val="yellow"/>
        </w:rPr>
        <w:t>:</w:t>
      </w:r>
      <w:proofErr w:type="gramEnd"/>
      <w:r>
        <w:rPr>
          <w:sz w:val="22"/>
        </w:rPr>
        <w:t xml:space="preserve"> </w:t>
      </w:r>
      <w:bookmarkEnd w:id="12"/>
      <w:r>
        <w:rPr>
          <w:sz w:val="22"/>
          <w:highlight w:val="lightGray"/>
        </w:rPr>
        <w:t xml:space="preserve">Tous les biens achetés doivent provenir d’un des pays éligibles mentionnés dans le </w:t>
      </w:r>
      <w:r>
        <w:rPr>
          <w:sz w:val="22"/>
          <w:highlight w:val="lightGray"/>
        </w:rPr>
        <w:lastRenderedPageBreak/>
        <w:t>règlement 2024/792 établissant la facilité pour l’Ukraine. Aux fins de la présente disposition, l</w:t>
      </w:r>
      <w:proofErr w:type="gramStart"/>
      <w:r>
        <w:rPr>
          <w:sz w:val="22"/>
          <w:highlight w:val="lightGray"/>
        </w:rPr>
        <w:t>’«origine</w:t>
      </w:r>
      <w:proofErr w:type="gramEnd"/>
      <w:r>
        <w:rPr>
          <w:sz w:val="22"/>
          <w:highlight w:val="lightGray"/>
        </w:rPr>
        <w:t xml:space="preserve">» signifie l’endroit où les biens sont extraits, cultivés, produits ou manufacturés. L’origine des biens doit être déterminée en accord avec les codes des douanes de l’Union européenne ou de la convention internationale applicable en l’espèce. </w:t>
      </w:r>
    </w:p>
    <w:p w14:paraId="60A5CEF6" w14:textId="1EE7FDDB" w:rsidR="002B3B4D" w:rsidRPr="00B5440B" w:rsidRDefault="002B3B4D" w:rsidP="00B5440B">
      <w:pPr>
        <w:pStyle w:val="paragraph"/>
        <w:spacing w:before="0" w:beforeAutospacing="0" w:after="120" w:afterAutospacing="0" w:line="240" w:lineRule="atLeast"/>
        <w:ind w:left="1134"/>
        <w:jc w:val="both"/>
        <w:textAlignment w:val="baseline"/>
        <w:rPr>
          <w:sz w:val="22"/>
          <w:szCs w:val="22"/>
        </w:rPr>
      </w:pPr>
      <w:r>
        <w:rPr>
          <w:sz w:val="22"/>
          <w:highlight w:val="lightGray"/>
        </w:rPr>
        <w:t>Un certificat d’origine des biens devra être produit par le contractant, au plus tard en même temps que sa demande de réception provisoire des biens. Le manquement à cette condition peut aboutir à la résiliation du marché et/ou à la suspension des paiements.</w:t>
      </w:r>
      <w:r>
        <w:rPr>
          <w:sz w:val="22"/>
        </w:rPr>
        <w:t>]</w:t>
      </w:r>
    </w:p>
    <w:p w14:paraId="55B4784B" w14:textId="075C6ED5" w:rsidR="0043240C" w:rsidRDefault="009679FA" w:rsidP="00B5440B">
      <w:pPr>
        <w:pStyle w:val="Heading2"/>
        <w:keepNext w:val="0"/>
        <w:numPr>
          <w:ilvl w:val="1"/>
          <w:numId w:val="0"/>
        </w:numPr>
        <w:spacing w:before="0"/>
        <w:ind w:left="1134"/>
        <w:jc w:val="both"/>
        <w:rPr>
          <w:rFonts w:ascii="Times New Roman" w:hAnsi="Times New Roman"/>
          <w:sz w:val="22"/>
          <w:szCs w:val="22"/>
        </w:rPr>
      </w:pPr>
      <w:r>
        <w:rPr>
          <w:rFonts w:ascii="Times New Roman" w:hAnsi="Times New Roman"/>
          <w:sz w:val="22"/>
          <w:highlight w:val="yellow"/>
        </w:rPr>
        <w:t>[En vertu du cadre financier pluriannuel 2014-2020 (marchés/lots supérieurs à 100 000 EUR au titre du règlement commun de mise en œuvre et indépendamment de la valeur pour les autres instruments</w:t>
      </w:r>
      <w:proofErr w:type="gramStart"/>
      <w:r>
        <w:rPr>
          <w:rFonts w:ascii="Times New Roman" w:hAnsi="Times New Roman"/>
          <w:sz w:val="22"/>
          <w:highlight w:val="yellow"/>
        </w:rPr>
        <w:t>):</w:t>
      </w:r>
      <w:proofErr w:type="gramEnd"/>
      <w:r>
        <w:rPr>
          <w:rFonts w:ascii="Times New Roman" w:hAnsi="Times New Roman"/>
          <w:sz w:val="22"/>
        </w:rPr>
        <w:t xml:space="preserve"> </w:t>
      </w:r>
      <w:r>
        <w:rPr>
          <w:rFonts w:ascii="Times New Roman" w:hAnsi="Times New Roman"/>
          <w:sz w:val="22"/>
          <w:highlight w:val="lightGray"/>
        </w:rPr>
        <w:t>Tous les biens achetés doivent provenir d’un des pays éligibles mentionnés dans</w:t>
      </w:r>
      <w:r>
        <w:rPr>
          <w:rFonts w:ascii="Times New Roman" w:hAnsi="Times New Roman"/>
          <w:sz w:val="22"/>
        </w:rPr>
        <w:t xml:space="preserve"> &lt; </w:t>
      </w:r>
      <w:r>
        <w:rPr>
          <w:rFonts w:ascii="Times New Roman" w:hAnsi="Times New Roman"/>
          <w:sz w:val="22"/>
          <w:highlight w:val="yellow"/>
        </w:rPr>
        <w:t>insérer l’instrument finançant le projet/programme</w:t>
      </w:r>
      <w:r>
        <w:rPr>
          <w:rFonts w:ascii="Times New Roman" w:hAnsi="Times New Roman"/>
          <w:sz w:val="22"/>
        </w:rPr>
        <w:t xml:space="preserve">&gt;. </w:t>
      </w:r>
      <w:r>
        <w:rPr>
          <w:rFonts w:ascii="Times New Roman" w:hAnsi="Times New Roman"/>
          <w:sz w:val="22"/>
          <w:highlight w:val="lightGray"/>
        </w:rPr>
        <w:t>Aux fins de la présente disposition, l</w:t>
      </w:r>
      <w:proofErr w:type="gramStart"/>
      <w:r>
        <w:rPr>
          <w:rFonts w:ascii="Times New Roman" w:hAnsi="Times New Roman"/>
          <w:sz w:val="22"/>
          <w:highlight w:val="lightGray"/>
        </w:rPr>
        <w:t>’«origine</w:t>
      </w:r>
      <w:proofErr w:type="gramEnd"/>
      <w:r>
        <w:rPr>
          <w:rFonts w:ascii="Times New Roman" w:hAnsi="Times New Roman"/>
          <w:sz w:val="22"/>
          <w:highlight w:val="lightGray"/>
        </w:rPr>
        <w:t>» signifie l’endroit où les biens sont extraits, cultivés, produits ou manufacturés. L’origine des biens doit être déterminée en accord avec les codes des douanes de l’Union européenne ou de la convention internationale applicable en l’espèce.</w:t>
      </w:r>
      <w:r>
        <w:rPr>
          <w:rFonts w:ascii="Times New Roman" w:hAnsi="Times New Roman"/>
          <w:sz w:val="22"/>
        </w:rPr>
        <w:t xml:space="preserve"> </w:t>
      </w:r>
    </w:p>
    <w:p w14:paraId="7F4C0A19" w14:textId="58F54DBF" w:rsidR="0047783A" w:rsidRPr="003D6B6C" w:rsidRDefault="0043240C" w:rsidP="00B5440B">
      <w:pPr>
        <w:pStyle w:val="Heading2"/>
        <w:keepNext w:val="0"/>
        <w:numPr>
          <w:ilvl w:val="1"/>
          <w:numId w:val="0"/>
        </w:numPr>
        <w:spacing w:before="0"/>
        <w:ind w:left="1134"/>
        <w:jc w:val="both"/>
        <w:rPr>
          <w:rFonts w:ascii="Times New Roman" w:hAnsi="Times New Roman"/>
          <w:sz w:val="22"/>
          <w:szCs w:val="22"/>
        </w:rPr>
      </w:pPr>
      <w:r>
        <w:rPr>
          <w:rFonts w:ascii="Times New Roman" w:hAnsi="Times New Roman"/>
          <w:sz w:val="22"/>
          <w:highlight w:val="lightGray"/>
        </w:rPr>
        <w:t>Un certificat d’origine des biens devra être produit par le contractant, au plus tard en même temps que sa demande de réception provisoire des biens. Le manquement à cette condition peut aboutir à la résiliation du marché et/ou à la suspension des paiements</w:t>
      </w:r>
      <w:proofErr w:type="gramStart"/>
      <w:r>
        <w:rPr>
          <w:rFonts w:ascii="Times New Roman" w:hAnsi="Times New Roman"/>
          <w:sz w:val="22"/>
          <w:highlight w:val="lightGray"/>
        </w:rPr>
        <w:t>. ]</w:t>
      </w:r>
      <w:proofErr w:type="gramEnd"/>
    </w:p>
    <w:p w14:paraId="232C584C" w14:textId="2004B2F1" w:rsidR="0047783A" w:rsidRPr="003D6B6C" w:rsidRDefault="0047783A" w:rsidP="00B5440B">
      <w:pPr>
        <w:pStyle w:val="Heading2"/>
        <w:keepNext w:val="0"/>
        <w:numPr>
          <w:ilvl w:val="1"/>
          <w:numId w:val="0"/>
        </w:numPr>
        <w:spacing w:before="0"/>
        <w:ind w:left="1134"/>
        <w:jc w:val="both"/>
        <w:rPr>
          <w:rFonts w:ascii="Times New Roman" w:hAnsi="Times New Roman"/>
          <w:sz w:val="22"/>
          <w:szCs w:val="22"/>
        </w:rPr>
      </w:pPr>
      <w:r>
        <w:rPr>
          <w:rFonts w:ascii="Times New Roman" w:hAnsi="Times New Roman"/>
          <w:sz w:val="22"/>
        </w:rPr>
        <w:t>[</w:t>
      </w:r>
      <w:proofErr w:type="gramStart"/>
      <w:r>
        <w:rPr>
          <w:rFonts w:ascii="Times New Roman" w:hAnsi="Times New Roman"/>
          <w:sz w:val="22"/>
          <w:highlight w:val="yellow"/>
        </w:rPr>
        <w:t>FED:</w:t>
      </w:r>
      <w:proofErr w:type="gramEnd"/>
      <w:r>
        <w:rPr>
          <w:rFonts w:ascii="Times New Roman" w:hAnsi="Times New Roman"/>
          <w:sz w:val="22"/>
        </w:rPr>
        <w:t xml:space="preserve"> </w:t>
      </w:r>
      <w:r>
        <w:rPr>
          <w:rFonts w:ascii="Times New Roman" w:hAnsi="Times New Roman"/>
          <w:sz w:val="22"/>
          <w:highlight w:val="lightGray"/>
        </w:rPr>
        <w:t>Les biens provenant de l’Union européenne incluent ceux issus des pays et territoires d’outre-mer.</w:t>
      </w:r>
      <w:r>
        <w:rPr>
          <w:rFonts w:ascii="Times New Roman" w:hAnsi="Times New Roman"/>
          <w:sz w:val="22"/>
        </w:rPr>
        <w:t>]</w:t>
      </w:r>
    </w:p>
    <w:p w14:paraId="04B63533" w14:textId="0E6E4A65" w:rsidR="008B230C" w:rsidRPr="003D6B6C" w:rsidRDefault="0047783A" w:rsidP="00B5440B">
      <w:pPr>
        <w:spacing w:before="0"/>
        <w:ind w:left="1134"/>
        <w:jc w:val="both"/>
        <w:rPr>
          <w:rFonts w:ascii="Times New Roman" w:hAnsi="Times New Roman"/>
          <w:sz w:val="22"/>
          <w:szCs w:val="22"/>
        </w:rPr>
      </w:pPr>
      <w:r>
        <w:rPr>
          <w:rFonts w:ascii="Times New Roman" w:hAnsi="Times New Roman"/>
          <w:sz w:val="22"/>
        </w:rPr>
        <w:t>&lt;</w:t>
      </w:r>
      <w:r>
        <w:rPr>
          <w:rFonts w:ascii="Times New Roman" w:hAnsi="Times New Roman"/>
          <w:sz w:val="22"/>
          <w:highlight w:val="yellow"/>
        </w:rPr>
        <w:t>Indiquer toute dérogation aux règles d’origine</w:t>
      </w:r>
      <w:r>
        <w:rPr>
          <w:rFonts w:ascii="Times New Roman" w:hAnsi="Times New Roman"/>
          <w:sz w:val="22"/>
        </w:rPr>
        <w:t>&gt;</w:t>
      </w:r>
    </w:p>
    <w:p w14:paraId="08F8112F" w14:textId="29DF4F92" w:rsidR="0047783A" w:rsidRPr="003D6B6C" w:rsidRDefault="0047783A" w:rsidP="00B34179">
      <w:pPr>
        <w:spacing w:before="240"/>
        <w:ind w:left="1134" w:hanging="1134"/>
        <w:jc w:val="both"/>
        <w:rPr>
          <w:rFonts w:ascii="Times New Roman" w:hAnsi="Times New Roman"/>
          <w:b/>
          <w:sz w:val="24"/>
          <w:szCs w:val="24"/>
        </w:rPr>
      </w:pPr>
      <w:bookmarkStart w:id="15" w:name="_Toc124934901"/>
      <w:r>
        <w:rPr>
          <w:rFonts w:ascii="Times New Roman" w:hAnsi="Times New Roman"/>
          <w:b/>
          <w:sz w:val="24"/>
        </w:rPr>
        <w:t>Article 11</w:t>
      </w:r>
      <w:r>
        <w:rPr>
          <w:rFonts w:ascii="Times New Roman" w:hAnsi="Times New Roman"/>
          <w:b/>
          <w:sz w:val="24"/>
        </w:rPr>
        <w:tab/>
        <w:t>Garantie de bonne exécution</w:t>
      </w:r>
      <w:bookmarkEnd w:id="15"/>
    </w:p>
    <w:p w14:paraId="2FB7FBBC" w14:textId="77777777" w:rsidR="0047783A" w:rsidRPr="003D6B6C" w:rsidRDefault="00F355C1" w:rsidP="00B5440B">
      <w:pPr>
        <w:spacing w:before="0"/>
        <w:ind w:left="1134" w:hanging="709"/>
        <w:jc w:val="both"/>
        <w:rPr>
          <w:rFonts w:ascii="Times New Roman" w:hAnsi="Times New Roman"/>
          <w:sz w:val="22"/>
          <w:szCs w:val="22"/>
        </w:rPr>
      </w:pPr>
      <w:r>
        <w:rPr>
          <w:rFonts w:ascii="Times New Roman" w:hAnsi="Times New Roman"/>
          <w:sz w:val="22"/>
        </w:rPr>
        <w:t>11.1</w:t>
      </w:r>
      <w:r>
        <w:rPr>
          <w:rFonts w:ascii="Times New Roman" w:hAnsi="Times New Roman"/>
          <w:sz w:val="22"/>
        </w:rPr>
        <w:tab/>
        <w:t>[</w:t>
      </w:r>
      <w:r>
        <w:rPr>
          <w:rFonts w:ascii="Times New Roman" w:hAnsi="Times New Roman"/>
          <w:sz w:val="22"/>
          <w:highlight w:val="lightGray"/>
        </w:rPr>
        <w:t>Le montant de la garantie de bonne exécution est fixé à</w:t>
      </w:r>
      <w:r>
        <w:rPr>
          <w:rFonts w:ascii="Times New Roman" w:hAnsi="Times New Roman"/>
          <w:sz w:val="22"/>
        </w:rPr>
        <w:t xml:space="preserve"> &lt;</w:t>
      </w:r>
      <w:r>
        <w:rPr>
          <w:rFonts w:ascii="Times New Roman" w:hAnsi="Times New Roman"/>
          <w:sz w:val="22"/>
          <w:highlight w:val="yellow"/>
        </w:rPr>
        <w:t>insérer un pourcentage compris dans une fourchette entre 5 % et 10 %</w:t>
      </w:r>
      <w:r>
        <w:rPr>
          <w:rFonts w:ascii="Times New Roman" w:hAnsi="Times New Roman"/>
          <w:sz w:val="22"/>
        </w:rPr>
        <w:t>&gt;</w:t>
      </w:r>
      <w:r>
        <w:rPr>
          <w:rFonts w:ascii="Times New Roman" w:hAnsi="Times New Roman"/>
          <w:sz w:val="22"/>
          <w:highlight w:val="lightGray"/>
        </w:rPr>
        <w:t xml:space="preserve"> du montant total du marché, y compris les montants mentionnés dans ses avenants éventuels.</w:t>
      </w:r>
      <w:r>
        <w:rPr>
          <w:rFonts w:ascii="Times New Roman" w:hAnsi="Times New Roman"/>
          <w:sz w:val="22"/>
        </w:rPr>
        <w:t>]</w:t>
      </w:r>
    </w:p>
    <w:p w14:paraId="404135F6" w14:textId="77777777" w:rsidR="00D25711" w:rsidRPr="003D6B6C" w:rsidRDefault="00D25711" w:rsidP="00B5440B">
      <w:pPr>
        <w:spacing w:before="0"/>
        <w:ind w:left="1134"/>
        <w:jc w:val="both"/>
        <w:rPr>
          <w:rFonts w:ascii="Times New Roman" w:hAnsi="Times New Roman"/>
          <w:sz w:val="22"/>
          <w:szCs w:val="22"/>
        </w:rPr>
      </w:pPr>
      <w:proofErr w:type="gramStart"/>
      <w:r>
        <w:rPr>
          <w:rFonts w:ascii="Times New Roman" w:hAnsi="Times New Roman"/>
          <w:sz w:val="22"/>
          <w:highlight w:val="yellow"/>
        </w:rPr>
        <w:t>OU:</w:t>
      </w:r>
      <w:proofErr w:type="gramEnd"/>
      <w:r>
        <w:rPr>
          <w:rFonts w:ascii="Times New Roman" w:hAnsi="Times New Roman"/>
          <w:sz w:val="22"/>
          <w:highlight w:val="yellow"/>
        </w:rPr>
        <w:t xml:space="preserve"> Pour des montants inférieurs ou égaux à 150 000 euros et sur la base de critères objectifs, tels que la nature et le montant du marché, il peut être décidé de ne pas exiger une telle garantie.</w:t>
      </w:r>
    </w:p>
    <w:p w14:paraId="20BFEFF7" w14:textId="77777777" w:rsidR="00D25711" w:rsidRPr="003D6B6C" w:rsidRDefault="0049293D" w:rsidP="003D6B6C">
      <w:pPr>
        <w:ind w:left="1134"/>
        <w:jc w:val="both"/>
        <w:rPr>
          <w:rFonts w:ascii="Times New Roman" w:hAnsi="Times New Roman"/>
          <w:sz w:val="22"/>
          <w:szCs w:val="22"/>
        </w:rPr>
      </w:pPr>
      <w:r>
        <w:rPr>
          <w:rFonts w:ascii="Times New Roman" w:hAnsi="Times New Roman"/>
          <w:sz w:val="22"/>
        </w:rPr>
        <w:t>[</w:t>
      </w:r>
      <w:r>
        <w:rPr>
          <w:rFonts w:ascii="Times New Roman" w:hAnsi="Times New Roman"/>
          <w:sz w:val="22"/>
          <w:highlight w:val="lightGray"/>
        </w:rPr>
        <w:t>Aucune garantie d’exécution n’est requise.</w:t>
      </w:r>
      <w:r>
        <w:rPr>
          <w:rFonts w:ascii="Times New Roman" w:hAnsi="Times New Roman"/>
          <w:sz w:val="22"/>
        </w:rPr>
        <w:t>]</w:t>
      </w:r>
    </w:p>
    <w:p w14:paraId="7E65A926" w14:textId="77777777" w:rsidR="0047783A" w:rsidRPr="003D6B6C" w:rsidRDefault="0047783A" w:rsidP="00B34179">
      <w:pPr>
        <w:spacing w:before="240"/>
        <w:ind w:left="1134" w:hanging="1134"/>
        <w:jc w:val="both"/>
        <w:rPr>
          <w:rFonts w:ascii="Times New Roman" w:hAnsi="Times New Roman"/>
          <w:b/>
          <w:sz w:val="24"/>
          <w:szCs w:val="24"/>
        </w:rPr>
      </w:pPr>
      <w:bookmarkStart w:id="16" w:name="_Toc124934902"/>
      <w:r>
        <w:rPr>
          <w:rFonts w:ascii="Times New Roman" w:hAnsi="Times New Roman"/>
          <w:b/>
          <w:sz w:val="24"/>
        </w:rPr>
        <w:t>Article 12</w:t>
      </w:r>
      <w:r>
        <w:rPr>
          <w:rFonts w:ascii="Times New Roman" w:hAnsi="Times New Roman"/>
          <w:b/>
          <w:sz w:val="24"/>
        </w:rPr>
        <w:tab/>
        <w:t>Responsabilité et assurances</w:t>
      </w:r>
      <w:bookmarkEnd w:id="16"/>
    </w:p>
    <w:p w14:paraId="1D170F84" w14:textId="77777777" w:rsidR="0049293D" w:rsidRDefault="004D33C9" w:rsidP="00B5440B">
      <w:pPr>
        <w:tabs>
          <w:tab w:val="left" w:pos="1134"/>
        </w:tabs>
        <w:spacing w:before="0"/>
        <w:ind w:left="1134" w:hanging="708"/>
        <w:jc w:val="both"/>
        <w:rPr>
          <w:rFonts w:ascii="Times New Roman" w:hAnsi="Times New Roman"/>
          <w:sz w:val="22"/>
          <w:szCs w:val="22"/>
          <w:highlight w:val="yellow"/>
        </w:rPr>
      </w:pPr>
      <w:r>
        <w:rPr>
          <w:rFonts w:ascii="Times New Roman" w:hAnsi="Times New Roman"/>
          <w:sz w:val="22"/>
        </w:rPr>
        <w:t>12.1 a)</w:t>
      </w:r>
      <w:r>
        <w:rPr>
          <w:rFonts w:ascii="Times New Roman" w:hAnsi="Times New Roman"/>
          <w:sz w:val="22"/>
        </w:rPr>
        <w:tab/>
        <w:t>&lt;</w:t>
      </w:r>
      <w:r>
        <w:rPr>
          <w:rFonts w:ascii="Times New Roman" w:hAnsi="Times New Roman"/>
          <w:sz w:val="22"/>
          <w:highlight w:val="yellow"/>
        </w:rPr>
        <w:t>Préciser ici les exigences spécifiques en matière de responsabilités en cas de dommage aux fournitures</w:t>
      </w:r>
      <w:r>
        <w:rPr>
          <w:rFonts w:ascii="Times New Roman" w:hAnsi="Times New Roman"/>
          <w:sz w:val="22"/>
        </w:rPr>
        <w:t>&gt;</w:t>
      </w:r>
    </w:p>
    <w:p w14:paraId="18BB0669" w14:textId="77777777" w:rsidR="004D33C9" w:rsidRPr="003D6B6C" w:rsidRDefault="004D33C9" w:rsidP="00B5440B">
      <w:pPr>
        <w:tabs>
          <w:tab w:val="left" w:pos="1134"/>
        </w:tabs>
        <w:spacing w:before="0"/>
        <w:ind w:left="1134"/>
        <w:jc w:val="both"/>
        <w:rPr>
          <w:rFonts w:ascii="Times New Roman" w:hAnsi="Times New Roman"/>
          <w:sz w:val="22"/>
          <w:szCs w:val="22"/>
        </w:rPr>
      </w:pPr>
      <w:r>
        <w:rPr>
          <w:rFonts w:ascii="Times New Roman" w:hAnsi="Times New Roman"/>
          <w:sz w:val="22"/>
        </w:rPr>
        <w:t>[</w:t>
      </w:r>
      <w:r>
        <w:rPr>
          <w:rFonts w:ascii="Times New Roman" w:hAnsi="Times New Roman"/>
          <w:sz w:val="22"/>
          <w:highlight w:val="yellow"/>
        </w:rPr>
        <w:t xml:space="preserve">Si vous jugez nécessaire de fixer un plafond autre que celui visé aux conditions générales rajouter ici la clause </w:t>
      </w:r>
      <w:proofErr w:type="gramStart"/>
      <w:r>
        <w:rPr>
          <w:rFonts w:ascii="Times New Roman" w:hAnsi="Times New Roman"/>
          <w:sz w:val="22"/>
          <w:highlight w:val="yellow"/>
        </w:rPr>
        <w:t>suivante</w:t>
      </w:r>
      <w:r>
        <w:rPr>
          <w:rFonts w:ascii="Times New Roman" w:hAnsi="Times New Roman"/>
          <w:sz w:val="22"/>
        </w:rPr>
        <w:t>:</w:t>
      </w:r>
      <w:proofErr w:type="gramEnd"/>
    </w:p>
    <w:p w14:paraId="59F19A3F" w14:textId="77777777" w:rsidR="004D33C9" w:rsidRPr="003D6B6C" w:rsidRDefault="00B2529B" w:rsidP="00B5440B">
      <w:pPr>
        <w:tabs>
          <w:tab w:val="left" w:pos="1134"/>
        </w:tabs>
        <w:spacing w:before="0" w:after="240"/>
        <w:ind w:left="1134"/>
        <w:jc w:val="both"/>
        <w:rPr>
          <w:rFonts w:ascii="Times New Roman" w:hAnsi="Times New Roman"/>
          <w:sz w:val="22"/>
          <w:szCs w:val="22"/>
        </w:rPr>
      </w:pPr>
      <w:proofErr w:type="gramStart"/>
      <w:r>
        <w:rPr>
          <w:rFonts w:ascii="Times New Roman" w:hAnsi="Times New Roman"/>
          <w:sz w:val="22"/>
        </w:rPr>
        <w:t>«</w:t>
      </w:r>
      <w:r>
        <w:rPr>
          <w:rFonts w:ascii="Times New Roman" w:hAnsi="Times New Roman"/>
          <w:sz w:val="22"/>
          <w:highlight w:val="lightGray"/>
        </w:rPr>
        <w:t>En</w:t>
      </w:r>
      <w:proofErr w:type="gramEnd"/>
      <w:r>
        <w:rPr>
          <w:rFonts w:ascii="Times New Roman" w:hAnsi="Times New Roman"/>
          <w:sz w:val="22"/>
          <w:highlight w:val="lightGray"/>
        </w:rPr>
        <w:t xml:space="preserve"> dérogation à l’article 12, paragraphe 1, point a), deuxième alinéa, des conditions générales, l’indemnisation des dommages aux fournitures issus de la responsabilité du contractant à l’égard du pouvoir adjudicateur est plafonnée à un montant égal à</w:t>
      </w:r>
      <w:r>
        <w:rPr>
          <w:rFonts w:ascii="Times New Roman" w:hAnsi="Times New Roman"/>
          <w:sz w:val="22"/>
        </w:rPr>
        <w:t xml:space="preserve"> &lt;</w:t>
      </w:r>
      <w:r>
        <w:rPr>
          <w:rFonts w:ascii="Times New Roman" w:hAnsi="Times New Roman"/>
          <w:sz w:val="22"/>
          <w:highlight w:val="yellow"/>
        </w:rPr>
        <w:t>compléter avec un montant qui peut être un multiple ou une fraction du montant du marché</w:t>
      </w:r>
      <w:r>
        <w:rPr>
          <w:rFonts w:ascii="Times New Roman" w:hAnsi="Times New Roman"/>
          <w:sz w:val="22"/>
        </w:rPr>
        <w:t>&gt;</w:t>
      </w:r>
      <w:r>
        <w:rPr>
          <w:rFonts w:ascii="Times New Roman" w:hAnsi="Times New Roman"/>
          <w:sz w:val="22"/>
          <w:highlight w:val="lightGray"/>
        </w:rPr>
        <w:t>.</w:t>
      </w:r>
      <w:r>
        <w:rPr>
          <w:rFonts w:ascii="Times New Roman" w:hAnsi="Times New Roman"/>
          <w:sz w:val="22"/>
        </w:rPr>
        <w:t>»]</w:t>
      </w:r>
    </w:p>
    <w:p w14:paraId="24B75441" w14:textId="77777777" w:rsidR="0049293D" w:rsidRDefault="004D33C9" w:rsidP="00B5440B">
      <w:pPr>
        <w:tabs>
          <w:tab w:val="left" w:pos="1134"/>
        </w:tabs>
        <w:spacing w:before="0"/>
        <w:ind w:left="1134" w:hanging="708"/>
        <w:jc w:val="both"/>
        <w:rPr>
          <w:rFonts w:ascii="Times New Roman" w:hAnsi="Times New Roman"/>
          <w:sz w:val="22"/>
          <w:szCs w:val="22"/>
          <w:highlight w:val="yellow"/>
        </w:rPr>
      </w:pPr>
      <w:r>
        <w:rPr>
          <w:rFonts w:ascii="Times New Roman" w:hAnsi="Times New Roman"/>
          <w:sz w:val="22"/>
        </w:rPr>
        <w:t>12.1 b)</w:t>
      </w:r>
      <w:r>
        <w:rPr>
          <w:rFonts w:ascii="Times New Roman" w:hAnsi="Times New Roman"/>
          <w:sz w:val="22"/>
        </w:rPr>
        <w:tab/>
        <w:t>&lt;</w:t>
      </w:r>
      <w:r>
        <w:rPr>
          <w:rFonts w:ascii="Times New Roman" w:hAnsi="Times New Roman"/>
          <w:sz w:val="22"/>
          <w:highlight w:val="yellow"/>
        </w:rPr>
        <w:t>Préciser ici les exigences spécifiques en matière de responsabilités en cas de dommage causé au pouvoir adjudicateur</w:t>
      </w:r>
      <w:r>
        <w:rPr>
          <w:rFonts w:ascii="Times New Roman" w:hAnsi="Times New Roman"/>
          <w:sz w:val="22"/>
        </w:rPr>
        <w:t>&gt;</w:t>
      </w:r>
      <w:r>
        <w:rPr>
          <w:rFonts w:ascii="Times New Roman" w:hAnsi="Times New Roman"/>
          <w:sz w:val="22"/>
          <w:highlight w:val="yellow"/>
        </w:rPr>
        <w:t xml:space="preserve"> </w:t>
      </w:r>
    </w:p>
    <w:p w14:paraId="282814A3" w14:textId="77777777" w:rsidR="004D33C9" w:rsidRPr="003D6B6C" w:rsidRDefault="004D33C9" w:rsidP="00B5440B">
      <w:pPr>
        <w:tabs>
          <w:tab w:val="left" w:pos="1134"/>
        </w:tabs>
        <w:spacing w:before="0"/>
        <w:ind w:left="1134"/>
        <w:jc w:val="both"/>
        <w:rPr>
          <w:rFonts w:ascii="Times New Roman" w:hAnsi="Times New Roman"/>
          <w:sz w:val="22"/>
          <w:szCs w:val="22"/>
        </w:rPr>
      </w:pPr>
      <w:r>
        <w:rPr>
          <w:rFonts w:ascii="Times New Roman" w:hAnsi="Times New Roman"/>
          <w:sz w:val="22"/>
        </w:rPr>
        <w:t>[</w:t>
      </w:r>
      <w:r>
        <w:rPr>
          <w:rFonts w:ascii="Times New Roman" w:hAnsi="Times New Roman"/>
          <w:sz w:val="22"/>
          <w:highlight w:val="yellow"/>
        </w:rPr>
        <w:t xml:space="preserve">Si vous jugez nécessaire de fixer un plafond autre que celui visé aux conditions générales rajouter ici la clause </w:t>
      </w:r>
      <w:proofErr w:type="gramStart"/>
      <w:r>
        <w:rPr>
          <w:rFonts w:ascii="Times New Roman" w:hAnsi="Times New Roman"/>
          <w:sz w:val="22"/>
          <w:highlight w:val="yellow"/>
        </w:rPr>
        <w:t>suivante:</w:t>
      </w:r>
      <w:proofErr w:type="gramEnd"/>
    </w:p>
    <w:p w14:paraId="24AC6E95" w14:textId="77777777" w:rsidR="004D33C9" w:rsidRPr="003D6B6C" w:rsidRDefault="00B2529B" w:rsidP="00B5440B">
      <w:pPr>
        <w:tabs>
          <w:tab w:val="left" w:pos="1134"/>
        </w:tabs>
        <w:spacing w:before="0" w:after="240"/>
        <w:ind w:left="1134"/>
        <w:jc w:val="both"/>
        <w:rPr>
          <w:rFonts w:ascii="Times New Roman" w:hAnsi="Times New Roman"/>
          <w:sz w:val="22"/>
          <w:szCs w:val="22"/>
        </w:rPr>
      </w:pPr>
      <w:proofErr w:type="gramStart"/>
      <w:r>
        <w:rPr>
          <w:rFonts w:ascii="Times New Roman" w:hAnsi="Times New Roman"/>
          <w:sz w:val="22"/>
        </w:rPr>
        <w:lastRenderedPageBreak/>
        <w:t>«</w:t>
      </w:r>
      <w:r>
        <w:rPr>
          <w:rFonts w:ascii="Times New Roman" w:hAnsi="Times New Roman"/>
          <w:sz w:val="22"/>
          <w:highlight w:val="lightGray"/>
        </w:rPr>
        <w:t>En</w:t>
      </w:r>
      <w:proofErr w:type="gramEnd"/>
      <w:r>
        <w:rPr>
          <w:rFonts w:ascii="Times New Roman" w:hAnsi="Times New Roman"/>
          <w:sz w:val="22"/>
          <w:highlight w:val="lightGray"/>
        </w:rPr>
        <w:t xml:space="preserve"> dérogation à l’article 12, paragraphe 1, point b), deuxième alinéa, des conditions générales, l’indemnisation des dommages issus de la responsabilité du contractant à l’égard du pouvoir adjudicateur est plafonnée à un montant égal à </w:t>
      </w:r>
      <w:r>
        <w:rPr>
          <w:rFonts w:ascii="Times New Roman" w:hAnsi="Times New Roman"/>
          <w:sz w:val="22"/>
        </w:rPr>
        <w:t>&lt;</w:t>
      </w:r>
      <w:r>
        <w:rPr>
          <w:rFonts w:ascii="Times New Roman" w:hAnsi="Times New Roman"/>
          <w:sz w:val="22"/>
          <w:highlight w:val="yellow"/>
        </w:rPr>
        <w:t>compléter avec un montant qui peut être un multiple ou une fraction de la valeur du marché</w:t>
      </w:r>
      <w:r>
        <w:rPr>
          <w:rFonts w:ascii="Times New Roman" w:hAnsi="Times New Roman"/>
          <w:sz w:val="22"/>
        </w:rPr>
        <w:t>&gt;</w:t>
      </w:r>
      <w:r>
        <w:rPr>
          <w:rFonts w:ascii="Times New Roman" w:hAnsi="Times New Roman"/>
          <w:sz w:val="22"/>
          <w:highlight w:val="lightGray"/>
        </w:rPr>
        <w:t>.</w:t>
      </w:r>
      <w:r>
        <w:rPr>
          <w:rFonts w:ascii="Times New Roman" w:hAnsi="Times New Roman"/>
          <w:sz w:val="22"/>
        </w:rPr>
        <w:t>»]</w:t>
      </w:r>
    </w:p>
    <w:p w14:paraId="061B1AE8" w14:textId="77777777" w:rsidR="0049293D" w:rsidRDefault="003D6B6C" w:rsidP="00B5440B">
      <w:pPr>
        <w:tabs>
          <w:tab w:val="left" w:pos="1843"/>
        </w:tabs>
        <w:spacing w:before="0"/>
        <w:ind w:left="1843" w:hanging="1843"/>
        <w:jc w:val="both"/>
        <w:rPr>
          <w:rFonts w:ascii="Times New Roman" w:hAnsi="Times New Roman"/>
          <w:sz w:val="22"/>
          <w:szCs w:val="22"/>
          <w:highlight w:val="yellow"/>
        </w:rPr>
      </w:pPr>
      <w:r>
        <w:rPr>
          <w:rFonts w:ascii="Times New Roman" w:hAnsi="Times New Roman"/>
          <w:sz w:val="22"/>
        </w:rPr>
        <w:t>12.2 a), premier alinéa</w:t>
      </w:r>
      <w:r>
        <w:rPr>
          <w:rFonts w:ascii="Times New Roman" w:hAnsi="Times New Roman"/>
          <w:sz w:val="22"/>
        </w:rPr>
        <w:tab/>
        <w:t>&lt;</w:t>
      </w:r>
      <w:r>
        <w:rPr>
          <w:rFonts w:ascii="Times New Roman" w:hAnsi="Times New Roman"/>
          <w:sz w:val="22"/>
          <w:highlight w:val="yellow"/>
        </w:rPr>
        <w:t>Préciser ici les exigences spécifiques quant au moment où les exigences de preuve de conclusion des assurances adéquates doivent être fournies</w:t>
      </w:r>
      <w:r>
        <w:rPr>
          <w:rFonts w:ascii="Times New Roman" w:hAnsi="Times New Roman"/>
          <w:sz w:val="22"/>
        </w:rPr>
        <w:t>&gt;</w:t>
      </w:r>
      <w:r>
        <w:rPr>
          <w:rFonts w:ascii="Times New Roman" w:hAnsi="Times New Roman"/>
          <w:sz w:val="22"/>
          <w:highlight w:val="yellow"/>
        </w:rPr>
        <w:t xml:space="preserve"> </w:t>
      </w:r>
    </w:p>
    <w:p w14:paraId="58E3E26A" w14:textId="77777777" w:rsidR="004D33C9" w:rsidRPr="003D6B6C" w:rsidRDefault="004D33C9" w:rsidP="00B5440B">
      <w:pPr>
        <w:tabs>
          <w:tab w:val="left" w:pos="1843"/>
        </w:tabs>
        <w:spacing w:before="0"/>
        <w:ind w:left="1843"/>
        <w:jc w:val="both"/>
        <w:rPr>
          <w:rFonts w:ascii="Times New Roman" w:hAnsi="Times New Roman"/>
          <w:sz w:val="22"/>
          <w:szCs w:val="22"/>
        </w:rPr>
      </w:pPr>
      <w:r>
        <w:rPr>
          <w:rFonts w:ascii="Times New Roman" w:hAnsi="Times New Roman"/>
          <w:sz w:val="22"/>
        </w:rPr>
        <w:t>[</w:t>
      </w:r>
      <w:r>
        <w:rPr>
          <w:rFonts w:ascii="Times New Roman" w:hAnsi="Times New Roman"/>
          <w:sz w:val="22"/>
          <w:highlight w:val="yellow"/>
        </w:rPr>
        <w:t xml:space="preserve">Si vous jugez nécessaire de modaliser différemment le moment où les exigences en matière de preuve d’assurances doivent être remplies, rajouter ici la clause </w:t>
      </w:r>
      <w:proofErr w:type="gramStart"/>
      <w:r>
        <w:rPr>
          <w:rFonts w:ascii="Times New Roman" w:hAnsi="Times New Roman"/>
          <w:sz w:val="22"/>
          <w:highlight w:val="yellow"/>
        </w:rPr>
        <w:t>suivante:</w:t>
      </w:r>
      <w:proofErr w:type="gramEnd"/>
    </w:p>
    <w:p w14:paraId="3971D5D3" w14:textId="13B79D63" w:rsidR="004D33C9" w:rsidRPr="003D6B6C" w:rsidRDefault="004D33C9" w:rsidP="00B5440B">
      <w:pPr>
        <w:tabs>
          <w:tab w:val="left" w:pos="1843"/>
        </w:tabs>
        <w:spacing w:before="0"/>
        <w:ind w:left="1843"/>
        <w:jc w:val="both"/>
        <w:rPr>
          <w:rFonts w:ascii="Times New Roman" w:hAnsi="Times New Roman"/>
          <w:sz w:val="22"/>
          <w:szCs w:val="22"/>
        </w:rPr>
      </w:pPr>
      <w:r>
        <w:rPr>
          <w:rFonts w:ascii="Times New Roman" w:hAnsi="Times New Roman"/>
          <w:sz w:val="22"/>
          <w:highlight w:val="lightGray"/>
        </w:rPr>
        <w:t>En dérogation à l’article 12, paragraphe 2, point a), premier alinéa, des conditions générales, c’est [</w:t>
      </w:r>
      <w:r>
        <w:rPr>
          <w:rFonts w:ascii="Times New Roman" w:hAnsi="Times New Roman"/>
          <w:sz w:val="22"/>
          <w:highlight w:val="yellow"/>
        </w:rPr>
        <w:t>indiquer à quel moment</w:t>
      </w:r>
      <w:r>
        <w:rPr>
          <w:rFonts w:ascii="Times New Roman" w:hAnsi="Times New Roman"/>
          <w:color w:val="222222"/>
          <w:sz w:val="22"/>
          <w:highlight w:val="lightGray"/>
        </w:rPr>
        <w:t>] que le contractant veille à ce que lui-même, son personnel, ses sous-traitants et toute personne dont le contractant doit répondre, soient adéquatement assurés auprès de compagnies d’assurances reconnues sur le marché international de l’assurance, à moins que le pouvoir adjudicateur n’ait marqué son accord exprès et écrit sur une compagnie d’assurances déterminée.</w:t>
      </w:r>
      <w:r>
        <w:rPr>
          <w:rFonts w:ascii="Times New Roman" w:hAnsi="Times New Roman"/>
          <w:sz w:val="22"/>
        </w:rPr>
        <w:t>]</w:t>
      </w:r>
    </w:p>
    <w:p w14:paraId="5F24C6E8" w14:textId="77777777" w:rsidR="0049293D" w:rsidRDefault="003D6B6C" w:rsidP="00B5440B">
      <w:pPr>
        <w:tabs>
          <w:tab w:val="left" w:pos="1843"/>
        </w:tabs>
        <w:spacing w:before="0"/>
        <w:ind w:left="1843" w:hanging="1843"/>
        <w:jc w:val="both"/>
        <w:rPr>
          <w:rFonts w:ascii="Times New Roman" w:hAnsi="Times New Roman"/>
          <w:sz w:val="22"/>
          <w:szCs w:val="22"/>
          <w:highlight w:val="yellow"/>
        </w:rPr>
      </w:pPr>
      <w:r>
        <w:rPr>
          <w:rFonts w:ascii="Times New Roman" w:hAnsi="Times New Roman"/>
          <w:sz w:val="22"/>
        </w:rPr>
        <w:t>12.2 a), deuxième alinéa</w:t>
      </w:r>
      <w:r>
        <w:rPr>
          <w:rFonts w:ascii="Times New Roman" w:hAnsi="Times New Roman"/>
          <w:sz w:val="22"/>
        </w:rPr>
        <w:tab/>
        <w:t>&lt;</w:t>
      </w:r>
      <w:r>
        <w:rPr>
          <w:rFonts w:ascii="Times New Roman" w:hAnsi="Times New Roman"/>
          <w:sz w:val="22"/>
          <w:highlight w:val="yellow"/>
        </w:rPr>
        <w:t>Préciser ici les exigences spécifiques quant au moment où les exigences de communication des notes de couvertures et/ou certificats d’assurances doivent être remplies</w:t>
      </w:r>
      <w:r>
        <w:rPr>
          <w:rFonts w:ascii="Times New Roman" w:hAnsi="Times New Roman"/>
          <w:sz w:val="22"/>
        </w:rPr>
        <w:t>&gt;</w:t>
      </w:r>
      <w:r>
        <w:rPr>
          <w:rFonts w:ascii="Times New Roman" w:hAnsi="Times New Roman"/>
          <w:sz w:val="22"/>
          <w:highlight w:val="yellow"/>
        </w:rPr>
        <w:t xml:space="preserve"> </w:t>
      </w:r>
    </w:p>
    <w:p w14:paraId="20EFA885" w14:textId="2182E3FD" w:rsidR="004D33C9" w:rsidRPr="003D6B6C" w:rsidRDefault="004D33C9" w:rsidP="00B5440B">
      <w:pPr>
        <w:tabs>
          <w:tab w:val="left" w:pos="1843"/>
        </w:tabs>
        <w:spacing w:before="0"/>
        <w:ind w:left="1843"/>
        <w:jc w:val="both"/>
        <w:rPr>
          <w:rFonts w:ascii="Times New Roman" w:hAnsi="Times New Roman"/>
          <w:sz w:val="22"/>
          <w:szCs w:val="22"/>
        </w:rPr>
      </w:pPr>
      <w:r>
        <w:rPr>
          <w:rFonts w:ascii="Times New Roman" w:hAnsi="Times New Roman"/>
          <w:sz w:val="22"/>
          <w:highlight w:val="yellow"/>
        </w:rPr>
        <w:t xml:space="preserve">[Si vous jugez nécessaire de modaliser différemment le moment de communication des notes de couvertures et/ou certificats d’assurances, rajouter ici la clause </w:t>
      </w:r>
      <w:proofErr w:type="gramStart"/>
      <w:r>
        <w:rPr>
          <w:rFonts w:ascii="Times New Roman" w:hAnsi="Times New Roman"/>
          <w:sz w:val="22"/>
          <w:highlight w:val="yellow"/>
        </w:rPr>
        <w:t>suivante</w:t>
      </w:r>
      <w:r>
        <w:rPr>
          <w:rFonts w:ascii="Times New Roman" w:hAnsi="Times New Roman"/>
          <w:sz w:val="22"/>
        </w:rPr>
        <w:t>:</w:t>
      </w:r>
      <w:proofErr w:type="gramEnd"/>
    </w:p>
    <w:p w14:paraId="2520C1EC" w14:textId="77777777" w:rsidR="004D33C9" w:rsidRPr="003D6B6C" w:rsidRDefault="004D33C9" w:rsidP="00B5440B">
      <w:pPr>
        <w:spacing w:before="0" w:after="240"/>
        <w:ind w:left="1843"/>
        <w:jc w:val="both"/>
        <w:rPr>
          <w:rFonts w:ascii="Times New Roman" w:hAnsi="Times New Roman"/>
          <w:sz w:val="22"/>
          <w:szCs w:val="22"/>
        </w:rPr>
      </w:pPr>
      <w:r>
        <w:rPr>
          <w:rFonts w:ascii="Times New Roman" w:hAnsi="Times New Roman"/>
          <w:sz w:val="22"/>
          <w:highlight w:val="lightGray"/>
        </w:rPr>
        <w:t>En dérogation à l’article 12, paragraphe 2, point a), deuxième alinéa, des conditions générales, c’est [</w:t>
      </w:r>
      <w:r>
        <w:rPr>
          <w:rFonts w:ascii="Times New Roman" w:hAnsi="Times New Roman"/>
          <w:sz w:val="22"/>
          <w:highlight w:val="yellow"/>
        </w:rPr>
        <w:t>indiquer à quel moment</w:t>
      </w:r>
      <w:r>
        <w:rPr>
          <w:rFonts w:ascii="Times New Roman" w:hAnsi="Times New Roman"/>
          <w:sz w:val="22"/>
          <w:highlight w:val="lightGray"/>
        </w:rPr>
        <w:t>] que le contractant fournira au pouvoir adjudicateur toutes les notes de couverture et/ou certificats d’assurance démontrant que les obligations du contractant en matière d’assurances sont pleinement respectées</w:t>
      </w:r>
      <w:proofErr w:type="gramStart"/>
      <w:r>
        <w:rPr>
          <w:rFonts w:ascii="Times New Roman" w:hAnsi="Times New Roman"/>
          <w:sz w:val="22"/>
          <w:highlight w:val="lightGray"/>
        </w:rPr>
        <w:t>.</w:t>
      </w:r>
      <w:r>
        <w:rPr>
          <w:rFonts w:ascii="Times New Roman" w:hAnsi="Times New Roman"/>
          <w:sz w:val="22"/>
        </w:rPr>
        <w:t xml:space="preserve"> ]</w:t>
      </w:r>
      <w:proofErr w:type="gramEnd"/>
    </w:p>
    <w:p w14:paraId="74BC38C6" w14:textId="77777777" w:rsidR="00584F28" w:rsidRPr="003D6B6C" w:rsidRDefault="003D6B6C" w:rsidP="00B5440B">
      <w:pPr>
        <w:spacing w:before="0"/>
        <w:ind w:left="1843" w:hanging="1843"/>
        <w:jc w:val="both"/>
        <w:rPr>
          <w:rFonts w:ascii="Times New Roman" w:hAnsi="Times New Roman"/>
          <w:sz w:val="22"/>
          <w:szCs w:val="22"/>
        </w:rPr>
      </w:pPr>
      <w:r>
        <w:rPr>
          <w:rFonts w:ascii="Times New Roman" w:hAnsi="Times New Roman"/>
          <w:sz w:val="22"/>
        </w:rPr>
        <w:t>12.2 b), deuxième alinéa</w:t>
      </w:r>
      <w:r>
        <w:rPr>
          <w:rFonts w:ascii="Times New Roman" w:hAnsi="Times New Roman"/>
          <w:sz w:val="22"/>
        </w:rPr>
        <w:tab/>
        <w:t>&lt;</w:t>
      </w:r>
      <w:r>
        <w:rPr>
          <w:rFonts w:ascii="Times New Roman" w:hAnsi="Times New Roman"/>
          <w:sz w:val="22"/>
          <w:highlight w:val="yellow"/>
        </w:rPr>
        <w:t>Préciser les exigences spécifiques en matière d’assurance pour couvrir le transport des fournitures</w:t>
      </w:r>
      <w:r>
        <w:rPr>
          <w:rFonts w:ascii="Times New Roman" w:hAnsi="Times New Roman"/>
          <w:sz w:val="22"/>
        </w:rPr>
        <w:t>&gt;</w:t>
      </w:r>
    </w:p>
    <w:p w14:paraId="73DAED0D" w14:textId="77777777" w:rsidR="00F51D3D" w:rsidRPr="003D6B6C" w:rsidRDefault="00F51D3D" w:rsidP="00B5440B">
      <w:pPr>
        <w:spacing w:before="0"/>
        <w:ind w:left="1843"/>
        <w:jc w:val="both"/>
        <w:rPr>
          <w:rFonts w:ascii="Times New Roman" w:hAnsi="Times New Roman"/>
          <w:color w:val="222222"/>
          <w:sz w:val="22"/>
          <w:szCs w:val="22"/>
          <w:highlight w:val="yellow"/>
        </w:rPr>
      </w:pPr>
      <w:r>
        <w:rPr>
          <w:rFonts w:ascii="Times New Roman" w:hAnsi="Times New Roman"/>
          <w:color w:val="222222"/>
          <w:sz w:val="22"/>
          <w:highlight w:val="yellow"/>
        </w:rPr>
        <w:t xml:space="preserve">Ce type d’assurance variera en fonction de la nature du transport (terrestre, aérien ou maritime) et de la nature des risques que l’on veut </w:t>
      </w:r>
      <w:proofErr w:type="gramStart"/>
      <w:r>
        <w:rPr>
          <w:rFonts w:ascii="Times New Roman" w:hAnsi="Times New Roman"/>
          <w:color w:val="222222"/>
          <w:sz w:val="22"/>
          <w:highlight w:val="yellow"/>
        </w:rPr>
        <w:t>couvrir:</w:t>
      </w:r>
      <w:proofErr w:type="gramEnd"/>
      <w:r>
        <w:rPr>
          <w:rFonts w:ascii="Times New Roman" w:hAnsi="Times New Roman"/>
          <w:color w:val="222222"/>
          <w:sz w:val="22"/>
          <w:highlight w:val="yellow"/>
        </w:rPr>
        <w:t xml:space="preserve"> chargement, entreposage intermédiaire, déchargement, y compris l’arrimage et la protection, vol, avarie, perte, mouille, etc.</w:t>
      </w:r>
    </w:p>
    <w:p w14:paraId="30C505EF" w14:textId="77777777" w:rsidR="00F51D3D" w:rsidRPr="003D6B6C" w:rsidRDefault="00E76535" w:rsidP="00B5440B">
      <w:pPr>
        <w:spacing w:before="0"/>
        <w:ind w:left="1843"/>
        <w:jc w:val="both"/>
        <w:rPr>
          <w:rFonts w:ascii="Times New Roman" w:hAnsi="Times New Roman"/>
          <w:color w:val="222222"/>
          <w:sz w:val="22"/>
          <w:szCs w:val="22"/>
          <w:highlight w:val="yellow"/>
        </w:rPr>
      </w:pPr>
      <w:r>
        <w:rPr>
          <w:rFonts w:ascii="Times New Roman" w:hAnsi="Times New Roman"/>
          <w:color w:val="222222"/>
          <w:sz w:val="22"/>
          <w:highlight w:val="yellow"/>
        </w:rPr>
        <w:t xml:space="preserve">Dans le cas d’utilisation des Incoterms, le contractant doit prévoir l’assurance transport dans la mesure où il assume les risques de transport. La question de la mesure des risques assumés par le contractant (vendeur) dépend notamment des Incoterms </w:t>
      </w:r>
      <w:proofErr w:type="gramStart"/>
      <w:r>
        <w:rPr>
          <w:rFonts w:ascii="Times New Roman" w:hAnsi="Times New Roman"/>
          <w:color w:val="222222"/>
          <w:sz w:val="22"/>
          <w:highlight w:val="yellow"/>
        </w:rPr>
        <w:t>utilisés:</w:t>
      </w:r>
      <w:proofErr w:type="gramEnd"/>
    </w:p>
    <w:p w14:paraId="11815F32" w14:textId="77777777" w:rsidR="00E76535" w:rsidRPr="003D6B6C" w:rsidRDefault="00E76535" w:rsidP="00B5440B">
      <w:pPr>
        <w:pStyle w:val="Default"/>
        <w:numPr>
          <w:ilvl w:val="0"/>
          <w:numId w:val="22"/>
        </w:numPr>
        <w:spacing w:after="120"/>
        <w:ind w:left="2268"/>
        <w:jc w:val="both"/>
        <w:rPr>
          <w:sz w:val="22"/>
          <w:szCs w:val="22"/>
          <w:highlight w:val="yellow"/>
        </w:rPr>
      </w:pPr>
      <w:r>
        <w:rPr>
          <w:b/>
          <w:i/>
          <w:sz w:val="22"/>
          <w:highlight w:val="yellow"/>
        </w:rPr>
        <w:t xml:space="preserve">DDP - Rendu droits </w:t>
      </w:r>
      <w:proofErr w:type="gramStart"/>
      <w:r>
        <w:rPr>
          <w:b/>
          <w:i/>
          <w:sz w:val="22"/>
          <w:highlight w:val="yellow"/>
        </w:rPr>
        <w:t>acquittés</w:t>
      </w:r>
      <w:r>
        <w:rPr>
          <w:i/>
          <w:sz w:val="22"/>
          <w:highlight w:val="yellow"/>
        </w:rPr>
        <w:t>:</w:t>
      </w:r>
      <w:proofErr w:type="gramEnd"/>
      <w:r>
        <w:rPr>
          <w:i/>
          <w:sz w:val="22"/>
          <w:highlight w:val="yellow"/>
        </w:rPr>
        <w:t xml:space="preserve"> </w:t>
      </w:r>
      <w:r>
        <w:rPr>
          <w:color w:val="222222"/>
          <w:sz w:val="22"/>
          <w:highlight w:val="yellow"/>
        </w:rPr>
        <w:t>Règle Incoterm qui impose au vendeur le maximum d’obligations vis-à-vis du transport et des risques de perte et de dommage liés à la marchandise:</w:t>
      </w:r>
    </w:p>
    <w:p w14:paraId="2B2DAB93" w14:textId="77777777" w:rsidR="00EF6552" w:rsidRPr="003D6B6C" w:rsidRDefault="00B2529B" w:rsidP="009D0375">
      <w:pPr>
        <w:pStyle w:val="Default"/>
        <w:spacing w:after="120"/>
        <w:ind w:left="2268"/>
        <w:jc w:val="both"/>
        <w:rPr>
          <w:color w:val="222222"/>
          <w:sz w:val="22"/>
          <w:szCs w:val="22"/>
        </w:rPr>
      </w:pPr>
      <w:r>
        <w:rPr>
          <w:i/>
          <w:sz w:val="22"/>
          <w:highlight w:val="yellow"/>
        </w:rPr>
        <w:t>«</w:t>
      </w:r>
      <w:proofErr w:type="gramStart"/>
      <w:r>
        <w:rPr>
          <w:i/>
          <w:sz w:val="22"/>
          <w:highlight w:val="yellow"/>
        </w:rPr>
        <w:t>la</w:t>
      </w:r>
      <w:proofErr w:type="gramEnd"/>
      <w:r>
        <w:rPr>
          <w:i/>
          <w:sz w:val="22"/>
          <w:highlight w:val="yellow"/>
        </w:rPr>
        <w:t xml:space="preserve"> marchandise est livrée à l’acheteur, dédouanée à l’importation, sur le véhicule de transport d’approche, prête à être déchargée au lieu de destination convenu. Le vendeur assume tous les frais et risques liés à l’acheminement de la marchandise jusqu’au lieu de destination convenu, en ce compris les formalités de dédouanement à l’exportation et à l’importation des biens ainsi que les droits et taxes y afférents.</w:t>
      </w:r>
      <w:r w:rsidR="00297C14" w:rsidRPr="003D6B6C">
        <w:rPr>
          <w:rStyle w:val="FootnoteReference"/>
          <w:i/>
          <w:iCs/>
          <w:sz w:val="22"/>
          <w:szCs w:val="22"/>
          <w:highlight w:val="yellow"/>
        </w:rPr>
        <w:footnoteReference w:id="2"/>
      </w:r>
      <w:r>
        <w:rPr>
          <w:i/>
          <w:sz w:val="22"/>
          <w:highlight w:val="yellow"/>
        </w:rPr>
        <w:t xml:space="preserve">» </w:t>
      </w:r>
      <w:r>
        <w:rPr>
          <w:color w:val="222222"/>
          <w:sz w:val="22"/>
          <w:highlight w:val="yellow"/>
        </w:rPr>
        <w:t xml:space="preserve">Le transfert </w:t>
      </w:r>
      <w:r>
        <w:rPr>
          <w:color w:val="222222"/>
          <w:sz w:val="22"/>
          <w:highlight w:val="yellow"/>
        </w:rPr>
        <w:lastRenderedPageBreak/>
        <w:t>des risques et des frais a lieu à l’endroit du déchargement des biens, au lieu de destination convenu</w:t>
      </w:r>
      <w:r>
        <w:rPr>
          <w:color w:val="222222"/>
          <w:sz w:val="22"/>
        </w:rPr>
        <w:t>.</w:t>
      </w:r>
    </w:p>
    <w:p w14:paraId="121BF8E7" w14:textId="77777777" w:rsidR="0045678B" w:rsidRPr="003D6B6C" w:rsidRDefault="00E76535" w:rsidP="00B5440B">
      <w:pPr>
        <w:pStyle w:val="Default"/>
        <w:numPr>
          <w:ilvl w:val="0"/>
          <w:numId w:val="22"/>
        </w:numPr>
        <w:spacing w:after="120"/>
        <w:ind w:left="2268"/>
        <w:jc w:val="both"/>
        <w:rPr>
          <w:sz w:val="22"/>
          <w:szCs w:val="22"/>
          <w:highlight w:val="yellow"/>
        </w:rPr>
      </w:pPr>
      <w:r>
        <w:rPr>
          <w:b/>
          <w:i/>
          <w:sz w:val="22"/>
          <w:highlight w:val="yellow"/>
        </w:rPr>
        <w:t xml:space="preserve">DAP - Rendu au lieu de </w:t>
      </w:r>
      <w:proofErr w:type="gramStart"/>
      <w:r>
        <w:rPr>
          <w:b/>
          <w:i/>
          <w:sz w:val="22"/>
          <w:highlight w:val="yellow"/>
        </w:rPr>
        <w:t>destination</w:t>
      </w:r>
      <w:r>
        <w:rPr>
          <w:i/>
          <w:sz w:val="22"/>
          <w:highlight w:val="yellow"/>
        </w:rPr>
        <w:t>:</w:t>
      </w:r>
      <w:proofErr w:type="gramEnd"/>
      <w:r>
        <w:rPr>
          <w:i/>
          <w:sz w:val="22"/>
          <w:highlight w:val="yellow"/>
        </w:rPr>
        <w:t xml:space="preserve"> </w:t>
      </w:r>
      <w:r>
        <w:rPr>
          <w:sz w:val="22"/>
          <w:highlight w:val="yellow"/>
        </w:rPr>
        <w:t>Incoterm qui impose au vendeur d’assumer tous les frais et risques liés au dédouanement des importations:</w:t>
      </w:r>
    </w:p>
    <w:p w14:paraId="562868DE" w14:textId="77777777" w:rsidR="00E76535" w:rsidRPr="003D6B6C" w:rsidRDefault="00B2529B" w:rsidP="00B5440B">
      <w:pPr>
        <w:pStyle w:val="Default"/>
        <w:spacing w:after="120"/>
        <w:ind w:left="2268"/>
        <w:jc w:val="both"/>
        <w:rPr>
          <w:sz w:val="22"/>
          <w:szCs w:val="22"/>
        </w:rPr>
      </w:pPr>
      <w:r>
        <w:rPr>
          <w:i/>
          <w:sz w:val="22"/>
          <w:highlight w:val="yellow"/>
        </w:rPr>
        <w:t>«</w:t>
      </w:r>
      <w:proofErr w:type="gramStart"/>
      <w:r>
        <w:rPr>
          <w:i/>
          <w:sz w:val="22"/>
          <w:highlight w:val="yellow"/>
        </w:rPr>
        <w:t>la</w:t>
      </w:r>
      <w:proofErr w:type="gramEnd"/>
      <w:r>
        <w:rPr>
          <w:i/>
          <w:sz w:val="22"/>
          <w:highlight w:val="yellow"/>
        </w:rPr>
        <w:t xml:space="preserve"> marchandise est livrée à l’acheteur sur le véhicule de transport d’approche, prête à être déchargée au lieu de destination convenu. Le vendeur assume tous les frais et risques liés à l’expédition des marchandises jusqu’à ce point</w:t>
      </w:r>
      <w:r w:rsidR="00297C14" w:rsidRPr="003D6B6C">
        <w:rPr>
          <w:rStyle w:val="FootnoteReference"/>
          <w:i/>
          <w:iCs/>
          <w:sz w:val="22"/>
          <w:szCs w:val="22"/>
          <w:highlight w:val="yellow"/>
        </w:rPr>
        <w:footnoteReference w:id="3"/>
      </w:r>
      <w:r>
        <w:rPr>
          <w:i/>
          <w:sz w:val="22"/>
          <w:highlight w:val="yellow"/>
        </w:rPr>
        <w:t>»</w:t>
      </w:r>
      <w:r>
        <w:rPr>
          <w:sz w:val="22"/>
          <w:highlight w:val="yellow"/>
        </w:rPr>
        <w:t xml:space="preserve">, y compris </w:t>
      </w:r>
      <w:r>
        <w:rPr>
          <w:color w:val="222222"/>
          <w:sz w:val="22"/>
          <w:highlight w:val="yellow"/>
        </w:rPr>
        <w:t>le dédouanement à l’exportation, mais non à l’importation au port ou à la frontière du lieu de destination convenu</w:t>
      </w:r>
      <w:r>
        <w:rPr>
          <w:color w:val="222222"/>
          <w:sz w:val="22"/>
        </w:rPr>
        <w:t>.</w:t>
      </w:r>
    </w:p>
    <w:p w14:paraId="674BFA44" w14:textId="77777777" w:rsidR="0047783A" w:rsidRPr="003D6B6C" w:rsidRDefault="0047783A" w:rsidP="00B34179">
      <w:pPr>
        <w:spacing w:before="240"/>
        <w:ind w:left="1134" w:hanging="1134"/>
        <w:jc w:val="both"/>
        <w:rPr>
          <w:rFonts w:ascii="Times New Roman" w:hAnsi="Times New Roman"/>
          <w:b/>
          <w:sz w:val="24"/>
          <w:szCs w:val="24"/>
        </w:rPr>
      </w:pPr>
      <w:bookmarkStart w:id="17" w:name="_Toc124934903"/>
      <w:r>
        <w:rPr>
          <w:rFonts w:ascii="Times New Roman" w:hAnsi="Times New Roman"/>
          <w:b/>
          <w:sz w:val="24"/>
        </w:rPr>
        <w:t>Article 13</w:t>
      </w:r>
      <w:r>
        <w:rPr>
          <w:rFonts w:ascii="Times New Roman" w:hAnsi="Times New Roman"/>
          <w:b/>
          <w:sz w:val="24"/>
        </w:rPr>
        <w:tab/>
      </w:r>
      <w:bookmarkEnd w:id="17"/>
      <w:r>
        <w:rPr>
          <w:rFonts w:ascii="Times New Roman" w:hAnsi="Times New Roman"/>
          <w:b/>
          <w:sz w:val="24"/>
        </w:rPr>
        <w:t>Programme de mise en œuvre des tâches</w:t>
      </w:r>
    </w:p>
    <w:p w14:paraId="68CCF8F0" w14:textId="77777777" w:rsidR="0047783A" w:rsidRPr="003D6B6C" w:rsidRDefault="00AC1107" w:rsidP="005D03AA">
      <w:pPr>
        <w:ind w:left="1134" w:hanging="709"/>
        <w:jc w:val="both"/>
        <w:rPr>
          <w:rFonts w:ascii="Times New Roman" w:hAnsi="Times New Roman"/>
          <w:b/>
          <w:sz w:val="22"/>
          <w:szCs w:val="22"/>
        </w:rPr>
      </w:pPr>
      <w:r>
        <w:rPr>
          <w:rFonts w:ascii="Times New Roman" w:hAnsi="Times New Roman"/>
          <w:sz w:val="22"/>
        </w:rPr>
        <w:t>13.2</w:t>
      </w:r>
      <w:r>
        <w:rPr>
          <w:rFonts w:ascii="Times New Roman" w:hAnsi="Times New Roman"/>
          <w:sz w:val="22"/>
        </w:rPr>
        <w:tab/>
        <w:t>[</w:t>
      </w:r>
      <w:r>
        <w:rPr>
          <w:rFonts w:ascii="Times New Roman" w:hAnsi="Times New Roman"/>
          <w:sz w:val="22"/>
          <w:highlight w:val="yellow"/>
        </w:rPr>
        <w:t>Si nécessaire</w:t>
      </w:r>
      <w:r>
        <w:rPr>
          <w:rFonts w:ascii="Times New Roman" w:hAnsi="Times New Roman"/>
          <w:sz w:val="22"/>
        </w:rPr>
        <w:t xml:space="preserve"> &lt;</w:t>
      </w:r>
      <w:r>
        <w:rPr>
          <w:rFonts w:ascii="Times New Roman" w:hAnsi="Times New Roman"/>
          <w:sz w:val="22"/>
          <w:highlight w:val="yellow"/>
        </w:rPr>
        <w:t>indiquer le calendrier de soumission et d’approbation du programme de mise en œuvre des tâches, en précisant les dates et les délais</w:t>
      </w:r>
      <w:r>
        <w:rPr>
          <w:rFonts w:ascii="Times New Roman" w:hAnsi="Times New Roman"/>
          <w:sz w:val="22"/>
        </w:rPr>
        <w:t>&gt;]</w:t>
      </w:r>
    </w:p>
    <w:p w14:paraId="1A770128" w14:textId="77777777" w:rsidR="0047783A" w:rsidRPr="003D6B6C" w:rsidRDefault="0047783A" w:rsidP="00B34179">
      <w:pPr>
        <w:spacing w:before="240"/>
        <w:ind w:left="1134" w:hanging="1134"/>
        <w:jc w:val="both"/>
        <w:rPr>
          <w:rFonts w:ascii="Times New Roman" w:hAnsi="Times New Roman"/>
          <w:b/>
          <w:sz w:val="24"/>
          <w:szCs w:val="24"/>
        </w:rPr>
      </w:pPr>
      <w:bookmarkStart w:id="18" w:name="_Toc124934904"/>
      <w:r>
        <w:rPr>
          <w:rFonts w:ascii="Times New Roman" w:hAnsi="Times New Roman"/>
          <w:b/>
          <w:sz w:val="24"/>
        </w:rPr>
        <w:t>Article 14</w:t>
      </w:r>
      <w:r>
        <w:rPr>
          <w:rFonts w:ascii="Times New Roman" w:hAnsi="Times New Roman"/>
          <w:b/>
          <w:sz w:val="24"/>
        </w:rPr>
        <w:tab/>
        <w:t>Plans du titulaire</w:t>
      </w:r>
      <w:bookmarkEnd w:id="18"/>
    </w:p>
    <w:p w14:paraId="62741992" w14:textId="77777777" w:rsidR="0047783A" w:rsidRPr="003D6B6C" w:rsidRDefault="005B0129" w:rsidP="005D03AA">
      <w:pPr>
        <w:ind w:left="1134" w:hanging="709"/>
        <w:jc w:val="both"/>
        <w:rPr>
          <w:rFonts w:ascii="Times New Roman" w:hAnsi="Times New Roman"/>
          <w:sz w:val="22"/>
          <w:szCs w:val="22"/>
        </w:rPr>
      </w:pPr>
      <w:r>
        <w:rPr>
          <w:rFonts w:ascii="Times New Roman" w:hAnsi="Times New Roman"/>
          <w:sz w:val="22"/>
        </w:rPr>
        <w:t>14.1</w:t>
      </w:r>
      <w:r>
        <w:rPr>
          <w:rFonts w:ascii="Times New Roman" w:hAnsi="Times New Roman"/>
          <w:sz w:val="22"/>
        </w:rPr>
        <w:tab/>
        <w:t>&lt;</w:t>
      </w:r>
      <w:r>
        <w:rPr>
          <w:rFonts w:ascii="Times New Roman" w:hAnsi="Times New Roman"/>
          <w:sz w:val="22"/>
          <w:highlight w:val="yellow"/>
        </w:rPr>
        <w:t>Indiquer les plans et/ou échantillons devant être fournis par le contractant, leurs procédures d’approbation et les exigences relatives aux manuels</w:t>
      </w:r>
      <w:r>
        <w:rPr>
          <w:rFonts w:ascii="Times New Roman" w:hAnsi="Times New Roman"/>
          <w:sz w:val="22"/>
        </w:rPr>
        <w:t>&gt;</w:t>
      </w:r>
    </w:p>
    <w:p w14:paraId="1B05DF2B" w14:textId="0014A6D7" w:rsidR="0047783A" w:rsidRDefault="0047783A" w:rsidP="00B34179">
      <w:pPr>
        <w:spacing w:before="240"/>
        <w:ind w:left="1134" w:hanging="1134"/>
        <w:jc w:val="both"/>
        <w:rPr>
          <w:rFonts w:ascii="Times New Roman" w:hAnsi="Times New Roman"/>
          <w:b/>
          <w:sz w:val="24"/>
          <w:szCs w:val="24"/>
        </w:rPr>
      </w:pPr>
      <w:bookmarkStart w:id="19" w:name="_Toc124934905"/>
      <w:r>
        <w:rPr>
          <w:rFonts w:ascii="Times New Roman" w:hAnsi="Times New Roman"/>
          <w:b/>
          <w:sz w:val="24"/>
        </w:rPr>
        <w:t>Article 15</w:t>
      </w:r>
      <w:r>
        <w:rPr>
          <w:rFonts w:ascii="Times New Roman" w:hAnsi="Times New Roman"/>
          <w:b/>
          <w:sz w:val="24"/>
        </w:rPr>
        <w:tab/>
        <w:t>Niveau suffisant du montant de l’offre</w:t>
      </w:r>
      <w:bookmarkEnd w:id="19"/>
    </w:p>
    <w:p w14:paraId="53D3FA29" w14:textId="21A49189" w:rsidR="009F323B" w:rsidRPr="003D6B6C" w:rsidRDefault="009F323B" w:rsidP="00B5440B">
      <w:pPr>
        <w:jc w:val="both"/>
        <w:rPr>
          <w:rFonts w:ascii="Times New Roman" w:hAnsi="Times New Roman"/>
          <w:b/>
          <w:sz w:val="24"/>
          <w:szCs w:val="24"/>
        </w:rPr>
      </w:pPr>
      <w:r>
        <w:rPr>
          <w:rFonts w:ascii="Times New Roman" w:hAnsi="Times New Roman"/>
          <w:sz w:val="22"/>
        </w:rPr>
        <w:t xml:space="preserve">Le prix des fournitures est celui figurant dans le modèle d’offre financière (annexe IV). </w:t>
      </w:r>
    </w:p>
    <w:p w14:paraId="4B4F2207" w14:textId="77777777" w:rsidR="0047783A" w:rsidRPr="003D6B6C" w:rsidRDefault="005B0129" w:rsidP="005D03AA">
      <w:pPr>
        <w:ind w:left="1134" w:hanging="709"/>
        <w:jc w:val="both"/>
        <w:rPr>
          <w:rFonts w:ascii="Times New Roman" w:hAnsi="Times New Roman"/>
          <w:sz w:val="22"/>
          <w:szCs w:val="22"/>
        </w:rPr>
      </w:pPr>
      <w:r>
        <w:rPr>
          <w:rFonts w:ascii="Times New Roman" w:hAnsi="Times New Roman"/>
          <w:sz w:val="22"/>
        </w:rPr>
        <w:t>15.1</w:t>
      </w:r>
      <w:r>
        <w:rPr>
          <w:rFonts w:ascii="Times New Roman" w:hAnsi="Times New Roman"/>
          <w:sz w:val="22"/>
        </w:rPr>
        <w:tab/>
        <w:t>&lt;</w:t>
      </w:r>
      <w:r>
        <w:rPr>
          <w:rFonts w:ascii="Times New Roman" w:hAnsi="Times New Roman"/>
          <w:sz w:val="22"/>
          <w:highlight w:val="yellow"/>
        </w:rPr>
        <w:t>Préciser les dispositions complémentaires concernant l’article 15 des conditions générales</w:t>
      </w:r>
      <w:r>
        <w:rPr>
          <w:rFonts w:ascii="Times New Roman" w:hAnsi="Times New Roman"/>
          <w:sz w:val="22"/>
        </w:rPr>
        <w:t>&gt;</w:t>
      </w:r>
    </w:p>
    <w:p w14:paraId="35D9433B" w14:textId="77777777" w:rsidR="00C52305" w:rsidRPr="003D6B6C" w:rsidRDefault="00C52305" w:rsidP="00C52305">
      <w:pPr>
        <w:spacing w:before="240"/>
        <w:ind w:left="1134" w:hanging="1134"/>
        <w:jc w:val="both"/>
        <w:rPr>
          <w:rFonts w:ascii="Times New Roman" w:hAnsi="Times New Roman"/>
          <w:b/>
          <w:sz w:val="24"/>
          <w:szCs w:val="24"/>
        </w:rPr>
      </w:pPr>
      <w:r>
        <w:rPr>
          <w:rFonts w:ascii="Times New Roman" w:hAnsi="Times New Roman"/>
          <w:b/>
          <w:sz w:val="24"/>
        </w:rPr>
        <w:t>Article 16</w:t>
      </w:r>
      <w:r>
        <w:rPr>
          <w:rFonts w:ascii="Times New Roman" w:hAnsi="Times New Roman"/>
          <w:b/>
          <w:sz w:val="24"/>
        </w:rPr>
        <w:tab/>
        <w:t>Régime fiscal et douanier</w:t>
      </w:r>
    </w:p>
    <w:p w14:paraId="6AF4FC5B" w14:textId="77777777" w:rsidR="00C52305" w:rsidRPr="003D6B6C" w:rsidRDefault="00C52305" w:rsidP="00C52305">
      <w:pPr>
        <w:ind w:left="1134" w:hanging="709"/>
        <w:jc w:val="both"/>
        <w:rPr>
          <w:rFonts w:ascii="Times New Roman" w:hAnsi="Times New Roman"/>
          <w:sz w:val="22"/>
          <w:szCs w:val="22"/>
        </w:rPr>
      </w:pPr>
      <w:r>
        <w:rPr>
          <w:rFonts w:ascii="Times New Roman" w:hAnsi="Times New Roman"/>
          <w:sz w:val="22"/>
        </w:rPr>
        <w:t>16.1</w:t>
      </w:r>
      <w:r>
        <w:rPr>
          <w:rFonts w:ascii="Times New Roman" w:hAnsi="Times New Roman"/>
          <w:sz w:val="22"/>
        </w:rPr>
        <w:tab/>
      </w:r>
      <w:r>
        <w:rPr>
          <w:rFonts w:ascii="Times New Roman" w:hAnsi="Times New Roman"/>
          <w:sz w:val="22"/>
          <w:highlight w:val="yellow"/>
        </w:rPr>
        <w:t xml:space="preserve">&lt;Préciser si les conditions de livraison sont DAP au lieu de DDP comme indiqué dans les conditions générales&gt; </w:t>
      </w:r>
    </w:p>
    <w:p w14:paraId="53822BAA" w14:textId="77777777" w:rsidR="0047783A" w:rsidRPr="003D6B6C" w:rsidRDefault="0047783A" w:rsidP="00B34179">
      <w:pPr>
        <w:spacing w:before="240"/>
        <w:ind w:left="1134" w:hanging="1134"/>
        <w:jc w:val="both"/>
        <w:rPr>
          <w:rFonts w:ascii="Times New Roman" w:hAnsi="Times New Roman"/>
          <w:b/>
          <w:sz w:val="24"/>
          <w:szCs w:val="24"/>
        </w:rPr>
      </w:pPr>
      <w:bookmarkStart w:id="20" w:name="_Toc124934906"/>
      <w:r>
        <w:rPr>
          <w:rFonts w:ascii="Times New Roman" w:hAnsi="Times New Roman"/>
          <w:b/>
          <w:sz w:val="24"/>
        </w:rPr>
        <w:t>Article 17</w:t>
      </w:r>
      <w:r>
        <w:rPr>
          <w:rFonts w:ascii="Times New Roman" w:hAnsi="Times New Roman"/>
          <w:b/>
          <w:sz w:val="24"/>
        </w:rPr>
        <w:tab/>
        <w:t>Brevets et licences</w:t>
      </w:r>
      <w:bookmarkEnd w:id="20"/>
    </w:p>
    <w:p w14:paraId="43D1F54B" w14:textId="77777777" w:rsidR="0047783A" w:rsidRPr="003D6B6C" w:rsidRDefault="005B0129" w:rsidP="005D03AA">
      <w:pPr>
        <w:ind w:left="1134" w:hanging="709"/>
        <w:jc w:val="both"/>
        <w:rPr>
          <w:rFonts w:ascii="Times New Roman" w:hAnsi="Times New Roman"/>
          <w:sz w:val="22"/>
          <w:szCs w:val="22"/>
        </w:rPr>
      </w:pPr>
      <w:r>
        <w:rPr>
          <w:rFonts w:ascii="Times New Roman" w:hAnsi="Times New Roman"/>
          <w:sz w:val="22"/>
        </w:rPr>
        <w:t>17.1</w:t>
      </w:r>
      <w:r>
        <w:rPr>
          <w:rFonts w:ascii="Times New Roman" w:hAnsi="Times New Roman"/>
          <w:sz w:val="22"/>
        </w:rPr>
        <w:tab/>
        <w:t>&lt;</w:t>
      </w:r>
      <w:r>
        <w:rPr>
          <w:rFonts w:ascii="Times New Roman" w:hAnsi="Times New Roman"/>
          <w:sz w:val="22"/>
          <w:highlight w:val="yellow"/>
        </w:rPr>
        <w:t>Préciser s’il y a une dérogation à l’article 17 des conditions générales</w:t>
      </w:r>
      <w:r>
        <w:rPr>
          <w:rFonts w:ascii="Times New Roman" w:hAnsi="Times New Roman"/>
          <w:sz w:val="22"/>
        </w:rPr>
        <w:t>&gt;</w:t>
      </w:r>
    </w:p>
    <w:p w14:paraId="68BC2499" w14:textId="33514831" w:rsidR="00EB32E9" w:rsidRPr="003D6B6C" w:rsidRDefault="0047783A" w:rsidP="00B34179">
      <w:pPr>
        <w:spacing w:before="240"/>
        <w:ind w:left="1134" w:hanging="1134"/>
        <w:jc w:val="both"/>
        <w:rPr>
          <w:rFonts w:ascii="Times New Roman" w:hAnsi="Times New Roman"/>
          <w:b/>
          <w:sz w:val="24"/>
          <w:szCs w:val="24"/>
        </w:rPr>
      </w:pPr>
      <w:bookmarkStart w:id="21" w:name="_Toc124934907"/>
      <w:r>
        <w:rPr>
          <w:rFonts w:ascii="Times New Roman" w:hAnsi="Times New Roman"/>
          <w:b/>
          <w:sz w:val="24"/>
        </w:rPr>
        <w:t>Article 18</w:t>
      </w:r>
      <w:r>
        <w:rPr>
          <w:rFonts w:ascii="Times New Roman" w:hAnsi="Times New Roman"/>
          <w:b/>
          <w:sz w:val="24"/>
        </w:rPr>
        <w:tab/>
        <w:t>Ordre de livraison</w:t>
      </w:r>
      <w:bookmarkEnd w:id="21"/>
      <w:r>
        <w:rPr>
          <w:rFonts w:ascii="Times New Roman" w:hAnsi="Times New Roman"/>
          <w:b/>
          <w:sz w:val="24"/>
        </w:rPr>
        <w:t xml:space="preserve"> </w:t>
      </w:r>
    </w:p>
    <w:p w14:paraId="14D4E012" w14:textId="02D3D236" w:rsidR="0047783A" w:rsidRPr="003D6B6C" w:rsidRDefault="0047783A" w:rsidP="005D03AA">
      <w:pPr>
        <w:ind w:left="1134" w:hanging="709"/>
        <w:jc w:val="both"/>
        <w:rPr>
          <w:rFonts w:ascii="Times New Roman" w:hAnsi="Times New Roman"/>
          <w:sz w:val="22"/>
          <w:szCs w:val="22"/>
        </w:rPr>
      </w:pPr>
      <w:r>
        <w:rPr>
          <w:rFonts w:ascii="Times New Roman" w:hAnsi="Times New Roman"/>
          <w:sz w:val="22"/>
        </w:rPr>
        <w:t>18.1</w:t>
      </w:r>
      <w:r>
        <w:rPr>
          <w:rFonts w:ascii="Times New Roman" w:hAnsi="Times New Roman"/>
          <w:b/>
          <w:sz w:val="22"/>
        </w:rPr>
        <w:tab/>
        <w:t>[</w:t>
      </w:r>
      <w:r>
        <w:rPr>
          <w:rFonts w:ascii="Times New Roman" w:hAnsi="Times New Roman"/>
          <w:sz w:val="22"/>
        </w:rPr>
        <w:t>&lt;</w:t>
      </w:r>
      <w:r>
        <w:rPr>
          <w:rFonts w:ascii="Times New Roman" w:hAnsi="Times New Roman"/>
          <w:sz w:val="22"/>
          <w:highlight w:val="yellow"/>
        </w:rPr>
        <w:t>Indiquer la date à laquelle la livraison des biens/la mise en œuvre des tâches doit commencer</w:t>
      </w:r>
      <w:r>
        <w:rPr>
          <w:rFonts w:ascii="Times New Roman" w:hAnsi="Times New Roman"/>
          <w:sz w:val="22"/>
        </w:rPr>
        <w:t>&gt;]</w:t>
      </w:r>
    </w:p>
    <w:p w14:paraId="45A4C7E3" w14:textId="601D3BFC" w:rsidR="00EB32E9" w:rsidRPr="003D6B6C" w:rsidRDefault="00EB32E9" w:rsidP="005D03AA">
      <w:pPr>
        <w:ind w:left="1134"/>
        <w:jc w:val="both"/>
        <w:rPr>
          <w:rFonts w:ascii="Times New Roman" w:hAnsi="Times New Roman"/>
          <w:sz w:val="22"/>
          <w:szCs w:val="22"/>
        </w:rPr>
      </w:pPr>
      <w:proofErr w:type="gramStart"/>
      <w:r>
        <w:rPr>
          <w:rFonts w:ascii="Times New Roman" w:hAnsi="Times New Roman"/>
          <w:sz w:val="22"/>
          <w:highlight w:val="yellow"/>
        </w:rPr>
        <w:t>Ou</w:t>
      </w:r>
      <w:proofErr w:type="gramEnd"/>
      <w:r>
        <w:rPr>
          <w:rFonts w:ascii="Times New Roman" w:hAnsi="Times New Roman"/>
          <w:sz w:val="22"/>
        </w:rPr>
        <w:t xml:space="preserve"> </w:t>
      </w:r>
    </w:p>
    <w:p w14:paraId="3C7BBC71" w14:textId="76EB7A2D" w:rsidR="00A13EB8" w:rsidRDefault="00EB32E9" w:rsidP="005D03AA">
      <w:pPr>
        <w:ind w:left="1134" w:hanging="709"/>
        <w:jc w:val="both"/>
        <w:rPr>
          <w:rFonts w:ascii="Times New Roman" w:hAnsi="Times New Roman"/>
          <w:sz w:val="22"/>
          <w:szCs w:val="22"/>
        </w:rPr>
      </w:pPr>
      <w:r>
        <w:rPr>
          <w:rFonts w:ascii="Times New Roman" w:hAnsi="Times New Roman"/>
          <w:sz w:val="22"/>
        </w:rPr>
        <w:t>18.2</w:t>
      </w:r>
      <w:r>
        <w:rPr>
          <w:rFonts w:ascii="Times New Roman" w:hAnsi="Times New Roman"/>
          <w:sz w:val="22"/>
        </w:rPr>
        <w:tab/>
        <w:t>[</w:t>
      </w:r>
      <w:r>
        <w:rPr>
          <w:rFonts w:ascii="Times New Roman" w:hAnsi="Times New Roman"/>
          <w:sz w:val="22"/>
          <w:highlight w:val="lightGray"/>
        </w:rPr>
        <w:t>Le pouvoir adjudicateur informe le contractant par ordre de livraison de la date à laquelle la livraison des biens/la mise en œuvre des tâches commence.</w:t>
      </w:r>
      <w:r>
        <w:rPr>
          <w:rFonts w:ascii="Times New Roman" w:hAnsi="Times New Roman"/>
          <w:sz w:val="22"/>
        </w:rPr>
        <w:t>]</w:t>
      </w:r>
    </w:p>
    <w:p w14:paraId="40415148" w14:textId="00E142B9" w:rsidR="0047783A" w:rsidRPr="003D6B6C" w:rsidRDefault="0047783A" w:rsidP="00B34179">
      <w:pPr>
        <w:spacing w:before="240"/>
        <w:ind w:left="1134" w:hanging="1134"/>
        <w:jc w:val="both"/>
        <w:rPr>
          <w:rFonts w:ascii="Times New Roman" w:hAnsi="Times New Roman"/>
          <w:b/>
          <w:sz w:val="24"/>
          <w:szCs w:val="24"/>
        </w:rPr>
      </w:pPr>
      <w:bookmarkStart w:id="22" w:name="_Toc124934908"/>
      <w:r>
        <w:rPr>
          <w:rFonts w:ascii="Times New Roman" w:hAnsi="Times New Roman"/>
          <w:b/>
          <w:sz w:val="24"/>
        </w:rPr>
        <w:t>Article 19</w:t>
      </w:r>
      <w:r>
        <w:rPr>
          <w:rFonts w:ascii="Times New Roman" w:hAnsi="Times New Roman"/>
          <w:b/>
          <w:sz w:val="24"/>
        </w:rPr>
        <w:tab/>
        <w:t>Période de mise en œuvre</w:t>
      </w:r>
      <w:bookmarkEnd w:id="22"/>
      <w:r>
        <w:rPr>
          <w:rFonts w:ascii="Times New Roman" w:hAnsi="Times New Roman"/>
          <w:b/>
          <w:sz w:val="24"/>
        </w:rPr>
        <w:t xml:space="preserve"> des tâches</w:t>
      </w:r>
    </w:p>
    <w:p w14:paraId="513EDC65" w14:textId="0B1041B6" w:rsidR="00BD1517" w:rsidRDefault="0047783A" w:rsidP="00B5440B">
      <w:pPr>
        <w:spacing w:before="0"/>
        <w:ind w:left="1134" w:hanging="709"/>
        <w:jc w:val="both"/>
        <w:rPr>
          <w:rFonts w:ascii="Times New Roman" w:hAnsi="Times New Roman"/>
          <w:sz w:val="22"/>
        </w:rPr>
      </w:pPr>
      <w:r>
        <w:rPr>
          <w:rFonts w:ascii="Times New Roman" w:hAnsi="Times New Roman"/>
          <w:sz w:val="22"/>
        </w:rPr>
        <w:lastRenderedPageBreak/>
        <w:t>19.1</w:t>
      </w:r>
      <w:r>
        <w:rPr>
          <w:rFonts w:ascii="Times New Roman" w:hAnsi="Times New Roman"/>
          <w:b/>
          <w:sz w:val="22"/>
        </w:rPr>
        <w:tab/>
      </w:r>
      <w:r>
        <w:rPr>
          <w:rFonts w:ascii="Times New Roman" w:hAnsi="Times New Roman"/>
          <w:sz w:val="22"/>
        </w:rPr>
        <w:t>&lt;</w:t>
      </w:r>
      <w:r>
        <w:rPr>
          <w:rFonts w:ascii="Times New Roman" w:hAnsi="Times New Roman"/>
          <w:sz w:val="22"/>
          <w:highlight w:val="yellow"/>
        </w:rPr>
        <w:t>Préciser la date limite de livraison et la période de mise en œuvre des tâches par rapport à la date stipulée à l’article précédent. Répéter pour chaque lot, le cas échéant</w:t>
      </w:r>
      <w:r>
        <w:rPr>
          <w:rFonts w:ascii="Times New Roman" w:hAnsi="Times New Roman"/>
          <w:sz w:val="22"/>
        </w:rPr>
        <w:t xml:space="preserve">.&gt;  </w:t>
      </w:r>
    </w:p>
    <w:p w14:paraId="14FE33CD" w14:textId="5EBB0A64" w:rsidR="00A13EB8" w:rsidRDefault="00A13EB8" w:rsidP="00B5440B">
      <w:pPr>
        <w:spacing w:before="0"/>
        <w:ind w:left="1134"/>
        <w:jc w:val="both"/>
        <w:rPr>
          <w:rFonts w:ascii="Times New Roman" w:hAnsi="Times New Roman"/>
          <w:sz w:val="22"/>
          <w:szCs w:val="22"/>
        </w:rPr>
      </w:pPr>
      <w:r>
        <w:rPr>
          <w:rFonts w:ascii="Times New Roman" w:hAnsi="Times New Roman"/>
          <w:sz w:val="22"/>
        </w:rPr>
        <w:t xml:space="preserve">Les </w:t>
      </w:r>
      <w:r>
        <w:rPr>
          <w:rFonts w:ascii="Times New Roman" w:hAnsi="Times New Roman"/>
          <w:b/>
          <w:sz w:val="22"/>
        </w:rPr>
        <w:t>dates limites de livraison</w:t>
      </w:r>
      <w:r>
        <w:rPr>
          <w:rFonts w:ascii="Times New Roman" w:hAnsi="Times New Roman"/>
          <w:sz w:val="22"/>
        </w:rPr>
        <w:t xml:space="preserve"> sont &lt;</w:t>
      </w:r>
      <w:r>
        <w:rPr>
          <w:rFonts w:ascii="Times New Roman" w:hAnsi="Times New Roman"/>
          <w:sz w:val="22"/>
          <w:highlight w:val="yellow"/>
        </w:rPr>
        <w:t>insérer la date et l’heure</w:t>
      </w:r>
      <w:r>
        <w:rPr>
          <w:rFonts w:ascii="Times New Roman" w:hAnsi="Times New Roman"/>
          <w:sz w:val="22"/>
        </w:rPr>
        <w:t>&gt;.</w:t>
      </w:r>
    </w:p>
    <w:p w14:paraId="05A032BE" w14:textId="28EABC74" w:rsidR="00E55D87" w:rsidRPr="003D6B6C" w:rsidRDefault="00A13EB8" w:rsidP="00B5440B">
      <w:pPr>
        <w:pStyle w:val="CommentText"/>
        <w:ind w:left="1134"/>
        <w:rPr>
          <w:rFonts w:ascii="Times New Roman" w:hAnsi="Times New Roman"/>
          <w:b/>
          <w:sz w:val="22"/>
          <w:szCs w:val="22"/>
        </w:rPr>
      </w:pPr>
      <w:r>
        <w:rPr>
          <w:rFonts w:ascii="Times New Roman" w:hAnsi="Times New Roman"/>
          <w:sz w:val="22"/>
        </w:rPr>
        <w:t xml:space="preserve">La </w:t>
      </w:r>
      <w:r>
        <w:rPr>
          <w:rFonts w:ascii="Times New Roman" w:hAnsi="Times New Roman"/>
          <w:b/>
          <w:sz w:val="22"/>
        </w:rPr>
        <w:t>période de mise en œuvre des tâches</w:t>
      </w:r>
      <w:r>
        <w:rPr>
          <w:rFonts w:ascii="Times New Roman" w:hAnsi="Times New Roman"/>
          <w:sz w:val="22"/>
        </w:rPr>
        <w:t xml:space="preserve"> est de [</w:t>
      </w:r>
      <w:r>
        <w:rPr>
          <w:rFonts w:ascii="Times New Roman" w:hAnsi="Times New Roman"/>
          <w:sz w:val="22"/>
          <w:highlight w:val="lightGray"/>
        </w:rPr>
        <w:t>insérer nombre</w:t>
      </w:r>
      <w:r>
        <w:rPr>
          <w:rFonts w:ascii="Times New Roman" w:hAnsi="Times New Roman"/>
          <w:sz w:val="22"/>
        </w:rPr>
        <w:t>] </w:t>
      </w:r>
      <w:r w:rsidR="007E6380">
        <w:rPr>
          <w:rFonts w:ascii="Times New Roman" w:hAnsi="Times New Roman"/>
          <w:sz w:val="22"/>
        </w:rPr>
        <w:t>mois</w:t>
      </w:r>
      <w:r>
        <w:rPr>
          <w:rFonts w:ascii="Times New Roman" w:hAnsi="Times New Roman"/>
          <w:sz w:val="22"/>
        </w:rPr>
        <w:t>.</w:t>
      </w:r>
    </w:p>
    <w:p w14:paraId="0FBA9C31" w14:textId="77777777" w:rsidR="0047783A" w:rsidRPr="003D6B6C" w:rsidRDefault="0047783A" w:rsidP="00B34179">
      <w:pPr>
        <w:spacing w:before="240"/>
        <w:ind w:left="1134" w:hanging="1134"/>
        <w:jc w:val="both"/>
        <w:rPr>
          <w:rFonts w:ascii="Times New Roman" w:hAnsi="Times New Roman"/>
          <w:b/>
          <w:sz w:val="24"/>
          <w:szCs w:val="24"/>
        </w:rPr>
      </w:pPr>
      <w:bookmarkStart w:id="23" w:name="_Toc124934910"/>
      <w:r>
        <w:rPr>
          <w:rFonts w:ascii="Times New Roman" w:hAnsi="Times New Roman"/>
          <w:b/>
          <w:sz w:val="24"/>
        </w:rPr>
        <w:t>Article 24</w:t>
      </w:r>
      <w:r>
        <w:rPr>
          <w:rFonts w:ascii="Times New Roman" w:hAnsi="Times New Roman"/>
          <w:b/>
          <w:sz w:val="24"/>
        </w:rPr>
        <w:tab/>
        <w:t>Qualité des fournitures</w:t>
      </w:r>
      <w:bookmarkEnd w:id="23"/>
    </w:p>
    <w:p w14:paraId="0506BF5F" w14:textId="77777777" w:rsidR="0047783A" w:rsidRPr="003D6B6C" w:rsidRDefault="005B0129" w:rsidP="005D03AA">
      <w:pPr>
        <w:ind w:left="1134" w:hanging="709"/>
        <w:jc w:val="both"/>
        <w:rPr>
          <w:rFonts w:ascii="Times New Roman" w:hAnsi="Times New Roman"/>
          <w:sz w:val="22"/>
          <w:szCs w:val="22"/>
        </w:rPr>
      </w:pPr>
      <w:r>
        <w:rPr>
          <w:rFonts w:ascii="Times New Roman" w:hAnsi="Times New Roman"/>
          <w:sz w:val="22"/>
        </w:rPr>
        <w:t>24.2</w:t>
      </w:r>
      <w:r>
        <w:rPr>
          <w:rFonts w:ascii="Times New Roman" w:hAnsi="Times New Roman"/>
          <w:sz w:val="22"/>
        </w:rPr>
        <w:tab/>
        <w:t>&lt;</w:t>
      </w:r>
      <w:r>
        <w:rPr>
          <w:rFonts w:ascii="Times New Roman" w:hAnsi="Times New Roman"/>
          <w:sz w:val="22"/>
          <w:highlight w:val="yellow"/>
        </w:rPr>
        <w:t>Indiquer ici si une réception technique préliminaire est requise</w:t>
      </w:r>
      <w:r>
        <w:rPr>
          <w:rFonts w:ascii="Times New Roman" w:hAnsi="Times New Roman"/>
          <w:sz w:val="22"/>
        </w:rPr>
        <w:t>&gt;</w:t>
      </w:r>
    </w:p>
    <w:p w14:paraId="6EE8627F" w14:textId="77777777" w:rsidR="0047783A" w:rsidRPr="003D6B6C" w:rsidRDefault="0047783A" w:rsidP="00B34179">
      <w:pPr>
        <w:spacing w:before="240"/>
        <w:ind w:left="1134" w:hanging="1134"/>
        <w:jc w:val="both"/>
        <w:rPr>
          <w:rFonts w:ascii="Times New Roman" w:hAnsi="Times New Roman"/>
          <w:b/>
          <w:sz w:val="24"/>
          <w:szCs w:val="24"/>
        </w:rPr>
      </w:pPr>
      <w:bookmarkStart w:id="24" w:name="_Toc124934911"/>
      <w:r>
        <w:rPr>
          <w:rFonts w:ascii="Times New Roman" w:hAnsi="Times New Roman"/>
          <w:b/>
          <w:sz w:val="24"/>
        </w:rPr>
        <w:t>Article 25</w:t>
      </w:r>
      <w:r>
        <w:rPr>
          <w:rFonts w:ascii="Times New Roman" w:hAnsi="Times New Roman"/>
          <w:b/>
          <w:sz w:val="24"/>
        </w:rPr>
        <w:tab/>
        <w:t>Inspection et test</w:t>
      </w:r>
      <w:bookmarkEnd w:id="24"/>
    </w:p>
    <w:p w14:paraId="64178ACF" w14:textId="77777777" w:rsidR="0047783A" w:rsidRPr="003D6B6C" w:rsidRDefault="005B0129" w:rsidP="005D03AA">
      <w:pPr>
        <w:ind w:left="1134" w:hanging="709"/>
        <w:jc w:val="both"/>
        <w:rPr>
          <w:rFonts w:ascii="Times New Roman" w:hAnsi="Times New Roman"/>
          <w:b/>
          <w:sz w:val="22"/>
          <w:szCs w:val="22"/>
        </w:rPr>
      </w:pPr>
      <w:r>
        <w:rPr>
          <w:rFonts w:ascii="Times New Roman" w:hAnsi="Times New Roman"/>
          <w:sz w:val="22"/>
        </w:rPr>
        <w:t>25.2</w:t>
      </w:r>
      <w:r>
        <w:rPr>
          <w:rFonts w:ascii="Times New Roman" w:hAnsi="Times New Roman"/>
          <w:sz w:val="22"/>
        </w:rPr>
        <w:tab/>
        <w:t>&lt;</w:t>
      </w:r>
      <w:r>
        <w:rPr>
          <w:rFonts w:ascii="Times New Roman" w:hAnsi="Times New Roman"/>
          <w:sz w:val="22"/>
          <w:highlight w:val="yellow"/>
        </w:rPr>
        <w:t>Préciser les lieux/biens à inspecter et à tester conformément à l’article 25 des conditions générales et les modalités pratiques des tests</w:t>
      </w:r>
      <w:r>
        <w:rPr>
          <w:rFonts w:ascii="Times New Roman" w:hAnsi="Times New Roman"/>
          <w:sz w:val="22"/>
        </w:rPr>
        <w:t>&gt;</w:t>
      </w:r>
    </w:p>
    <w:p w14:paraId="76351DF5" w14:textId="504C7027" w:rsidR="0047783A" w:rsidRPr="003D6B6C" w:rsidRDefault="0047783A" w:rsidP="00B34179">
      <w:pPr>
        <w:spacing w:before="240"/>
        <w:ind w:left="1134" w:hanging="1134"/>
        <w:jc w:val="both"/>
        <w:rPr>
          <w:rFonts w:ascii="Times New Roman" w:hAnsi="Times New Roman"/>
          <w:b/>
          <w:sz w:val="24"/>
          <w:szCs w:val="24"/>
        </w:rPr>
      </w:pPr>
      <w:bookmarkStart w:id="25" w:name="_Toc124934912"/>
      <w:r>
        <w:rPr>
          <w:rFonts w:ascii="Times New Roman" w:hAnsi="Times New Roman"/>
          <w:b/>
          <w:sz w:val="24"/>
        </w:rPr>
        <w:t>Article 26</w:t>
      </w:r>
      <w:r>
        <w:rPr>
          <w:rFonts w:ascii="Times New Roman" w:hAnsi="Times New Roman"/>
          <w:b/>
          <w:sz w:val="24"/>
        </w:rPr>
        <w:tab/>
      </w:r>
      <w:bookmarkEnd w:id="25"/>
      <w:r>
        <w:rPr>
          <w:rFonts w:ascii="Times New Roman" w:hAnsi="Times New Roman"/>
          <w:b/>
          <w:sz w:val="24"/>
        </w:rPr>
        <w:t>Principes généraux</w:t>
      </w:r>
    </w:p>
    <w:p w14:paraId="6ECB3C62" w14:textId="77777777" w:rsidR="0047783A" w:rsidRPr="003D6B6C" w:rsidRDefault="0047783A" w:rsidP="00B5440B">
      <w:pPr>
        <w:tabs>
          <w:tab w:val="right" w:pos="9885"/>
        </w:tabs>
        <w:spacing w:before="0"/>
        <w:ind w:left="1134" w:hanging="709"/>
        <w:jc w:val="both"/>
        <w:rPr>
          <w:rFonts w:ascii="Times New Roman" w:hAnsi="Times New Roman"/>
          <w:sz w:val="22"/>
          <w:szCs w:val="22"/>
        </w:rPr>
      </w:pPr>
      <w:r>
        <w:rPr>
          <w:rFonts w:ascii="Times New Roman" w:hAnsi="Times New Roman"/>
          <w:sz w:val="22"/>
        </w:rPr>
        <w:t>26.1</w:t>
      </w:r>
      <w:r>
        <w:rPr>
          <w:rFonts w:ascii="Times New Roman" w:hAnsi="Times New Roman"/>
          <w:sz w:val="22"/>
        </w:rPr>
        <w:tab/>
        <w:t>Les paiements sont effectués en [</w:t>
      </w:r>
      <w:r>
        <w:rPr>
          <w:rFonts w:ascii="Times New Roman" w:hAnsi="Times New Roman"/>
          <w:sz w:val="22"/>
          <w:highlight w:val="lightGray"/>
        </w:rPr>
        <w:t>EUR</w:t>
      </w:r>
      <w:r>
        <w:rPr>
          <w:rFonts w:ascii="Times New Roman" w:hAnsi="Times New Roman"/>
          <w:sz w:val="22"/>
        </w:rPr>
        <w:t xml:space="preserve">] </w:t>
      </w:r>
      <w:r>
        <w:rPr>
          <w:rFonts w:ascii="Times New Roman" w:hAnsi="Times New Roman"/>
          <w:sz w:val="22"/>
          <w:highlight w:val="lightGray"/>
        </w:rPr>
        <w:t>[&lt;code ISO de la monnaie nationale&gt;</w:t>
      </w:r>
      <w:r>
        <w:rPr>
          <w:rFonts w:ascii="Times New Roman" w:hAnsi="Times New Roman"/>
          <w:sz w:val="22"/>
        </w:rPr>
        <w:t xml:space="preserve">, uniquement en gestion indirecte dans les cas </w:t>
      </w:r>
      <w:proofErr w:type="gramStart"/>
      <w:r>
        <w:rPr>
          <w:rFonts w:ascii="Times New Roman" w:hAnsi="Times New Roman"/>
          <w:sz w:val="22"/>
        </w:rPr>
        <w:t>suivants:</w:t>
      </w:r>
      <w:proofErr w:type="gramEnd"/>
      <w:r>
        <w:rPr>
          <w:rFonts w:ascii="Times New Roman" w:hAnsi="Times New Roman"/>
          <w:sz w:val="22"/>
          <w:highlight w:val="yellow"/>
        </w:rPr>
        <w:t xml:space="preserve"> i) lorsque des impératifs juridiques ou locaux imposent à titre exceptionnel d’utiliser la monnaie nationale; ii) en cas de besoin, pour des marchés relevant de la partie régie d’avance d’un devis-programme].</w:t>
      </w:r>
    </w:p>
    <w:p w14:paraId="05D86986" w14:textId="3B69E632" w:rsidR="0047783A" w:rsidRPr="003D6B6C" w:rsidRDefault="0047783A" w:rsidP="00B5440B">
      <w:pPr>
        <w:tabs>
          <w:tab w:val="right" w:pos="9885"/>
        </w:tabs>
        <w:spacing w:before="0"/>
        <w:ind w:left="1134"/>
        <w:jc w:val="both"/>
        <w:rPr>
          <w:rFonts w:ascii="Times New Roman" w:hAnsi="Times New Roman"/>
          <w:sz w:val="22"/>
          <w:szCs w:val="22"/>
        </w:rPr>
      </w:pPr>
      <w:r>
        <w:rPr>
          <w:rFonts w:ascii="Times New Roman" w:hAnsi="Times New Roman"/>
          <w:sz w:val="22"/>
        </w:rPr>
        <w:t>&lt;</w:t>
      </w:r>
      <w:r>
        <w:rPr>
          <w:rFonts w:ascii="Times New Roman" w:hAnsi="Times New Roman"/>
          <w:sz w:val="22"/>
          <w:highlight w:val="yellow"/>
        </w:rPr>
        <w:t>Indiquer les conditions administratives ou techniques auxquelles sont subordonnés les versements de préfinancement et le paiement du solde</w:t>
      </w:r>
      <w:r>
        <w:rPr>
          <w:rFonts w:ascii="Times New Roman" w:hAnsi="Times New Roman"/>
          <w:sz w:val="22"/>
        </w:rPr>
        <w:t xml:space="preserve">&gt; </w:t>
      </w:r>
      <w:r>
        <w:rPr>
          <w:rFonts w:ascii="Times New Roman" w:hAnsi="Times New Roman"/>
          <w:sz w:val="22"/>
          <w:highlight w:val="lightGray"/>
        </w:rPr>
        <w:t>Le préfinancement n’est pas applicable au présent marché.</w:t>
      </w:r>
    </w:p>
    <w:p w14:paraId="5A54FF23" w14:textId="77777777" w:rsidR="0047783A" w:rsidRPr="003D6B6C" w:rsidRDefault="0047783A" w:rsidP="00B5440B">
      <w:pPr>
        <w:spacing w:before="0"/>
        <w:ind w:left="1134"/>
        <w:jc w:val="both"/>
        <w:rPr>
          <w:rFonts w:ascii="Times New Roman" w:hAnsi="Times New Roman"/>
          <w:sz w:val="22"/>
          <w:szCs w:val="22"/>
        </w:rPr>
      </w:pPr>
      <w:r>
        <w:rPr>
          <w:rFonts w:ascii="Times New Roman" w:hAnsi="Times New Roman"/>
          <w:sz w:val="22"/>
        </w:rPr>
        <w:t>Les paiements sont autorisés et effectués par &lt;</w:t>
      </w:r>
      <w:r>
        <w:rPr>
          <w:rFonts w:ascii="Times New Roman" w:hAnsi="Times New Roman"/>
          <w:sz w:val="22"/>
          <w:highlight w:val="yellow"/>
        </w:rPr>
        <w:t>préciser l’adresse de l’unité responsable et tout autre renseignement utile</w:t>
      </w:r>
      <w:r>
        <w:rPr>
          <w:rFonts w:ascii="Times New Roman" w:hAnsi="Times New Roman"/>
          <w:sz w:val="22"/>
        </w:rPr>
        <w:t>&gt;.</w:t>
      </w:r>
    </w:p>
    <w:p w14:paraId="09CCCA2B" w14:textId="77777777" w:rsidR="0047783A" w:rsidRPr="003D6B6C" w:rsidRDefault="0047783A" w:rsidP="00B5440B">
      <w:pPr>
        <w:spacing w:before="0"/>
        <w:ind w:left="1134"/>
        <w:jc w:val="both"/>
        <w:rPr>
          <w:rFonts w:ascii="Times New Roman" w:hAnsi="Times New Roman"/>
          <w:sz w:val="22"/>
          <w:szCs w:val="22"/>
        </w:rPr>
      </w:pPr>
      <w:r>
        <w:rPr>
          <w:rFonts w:ascii="Times New Roman" w:hAnsi="Times New Roman"/>
          <w:sz w:val="22"/>
        </w:rPr>
        <w:t>[</w:t>
      </w:r>
      <w:r>
        <w:rPr>
          <w:rFonts w:ascii="Times New Roman" w:hAnsi="Times New Roman"/>
          <w:sz w:val="22"/>
          <w:highlight w:val="lightGray"/>
        </w:rPr>
        <w:t>En gestion indirecte avec contrôles ex ante et lorsque les factures sont introduites auprès des autorités du pays du pouvoir adjudicateur, le contractant doit en informer la Commission européenne par l’envoi d’une copie de la correspondance à</w:t>
      </w:r>
      <w:r>
        <w:rPr>
          <w:rFonts w:ascii="Times New Roman" w:hAnsi="Times New Roman"/>
          <w:sz w:val="22"/>
        </w:rPr>
        <w:t xml:space="preserve"> &lt;</w:t>
      </w:r>
      <w:r>
        <w:rPr>
          <w:rFonts w:ascii="Times New Roman" w:hAnsi="Times New Roman"/>
          <w:sz w:val="22"/>
          <w:highlight w:val="yellow"/>
        </w:rPr>
        <w:t>indiquer l’adresse de l’unité responsable si cette option est utilisée</w:t>
      </w:r>
      <w:r>
        <w:rPr>
          <w:rFonts w:ascii="Times New Roman" w:hAnsi="Times New Roman"/>
          <w:sz w:val="22"/>
        </w:rPr>
        <w:t>&gt;</w:t>
      </w:r>
      <w:r>
        <w:rPr>
          <w:rFonts w:ascii="Times New Roman" w:hAnsi="Times New Roman"/>
          <w:sz w:val="22"/>
          <w:highlight w:val="lightGray"/>
        </w:rPr>
        <w:t>.</w:t>
      </w:r>
      <w:r>
        <w:rPr>
          <w:rFonts w:ascii="Times New Roman" w:hAnsi="Times New Roman"/>
          <w:sz w:val="22"/>
        </w:rPr>
        <w:t>]</w:t>
      </w:r>
    </w:p>
    <w:p w14:paraId="10748F0B" w14:textId="77777777" w:rsidR="00BD2F43" w:rsidRPr="003D6B6C" w:rsidRDefault="006D5CEE" w:rsidP="00B5440B">
      <w:pPr>
        <w:spacing w:before="0"/>
        <w:ind w:left="1134" w:hanging="709"/>
        <w:jc w:val="both"/>
        <w:rPr>
          <w:rFonts w:ascii="Times New Roman" w:hAnsi="Times New Roman"/>
          <w:sz w:val="22"/>
          <w:szCs w:val="22"/>
        </w:rPr>
      </w:pPr>
      <w:r>
        <w:rPr>
          <w:rFonts w:ascii="Times New Roman" w:hAnsi="Times New Roman"/>
          <w:sz w:val="22"/>
        </w:rPr>
        <w:t>26.3</w:t>
      </w:r>
      <w:r>
        <w:rPr>
          <w:rFonts w:ascii="Times New Roman" w:hAnsi="Times New Roman"/>
          <w:sz w:val="22"/>
        </w:rPr>
        <w:tab/>
        <w:t>[</w:t>
      </w:r>
      <w:r>
        <w:rPr>
          <w:rFonts w:ascii="Times New Roman" w:hAnsi="Times New Roman"/>
          <w:sz w:val="22"/>
          <w:highlight w:val="yellow"/>
        </w:rPr>
        <w:t>Marché financé par le 10</w:t>
      </w:r>
      <w:r>
        <w:rPr>
          <w:rFonts w:ascii="Times New Roman" w:hAnsi="Times New Roman"/>
          <w:sz w:val="22"/>
          <w:highlight w:val="yellow"/>
          <w:vertAlign w:val="superscript"/>
        </w:rPr>
        <w:t>e</w:t>
      </w:r>
      <w:r>
        <w:rPr>
          <w:rFonts w:ascii="Times New Roman" w:hAnsi="Times New Roman"/>
          <w:sz w:val="22"/>
          <w:highlight w:val="yellow"/>
        </w:rPr>
        <w:t xml:space="preserve"> FED </w:t>
      </w:r>
      <w:proofErr w:type="gramStart"/>
      <w:r>
        <w:rPr>
          <w:rFonts w:ascii="Times New Roman" w:hAnsi="Times New Roman"/>
          <w:sz w:val="22"/>
          <w:highlight w:val="yellow"/>
        </w:rPr>
        <w:t>uniquement:</w:t>
      </w:r>
      <w:proofErr w:type="gramEnd"/>
      <w:r>
        <w:rPr>
          <w:rFonts w:ascii="Times New Roman" w:hAnsi="Times New Roman"/>
          <w:sz w:val="22"/>
        </w:rPr>
        <w:t xml:space="preserve"> </w:t>
      </w:r>
      <w:r>
        <w:rPr>
          <w:rFonts w:ascii="Times New Roman" w:hAnsi="Times New Roman"/>
          <w:sz w:val="22"/>
          <w:highlight w:val="lightGray"/>
        </w:rPr>
        <w:t>Par dérogation aux conditions générales, les paiements des préfinancements sont effectués dans les 90 jours à compter de l’enregistrement par le pouvoir adjudicateur d’une facture recevable. Le paiement final des montants dus au contractant est effectué dans les 90 jours après l’approbation provisoire des biens et réception par le pouvoir adjudicateur d’une facture recevable.</w:t>
      </w:r>
      <w:r>
        <w:rPr>
          <w:rFonts w:ascii="Times New Roman" w:hAnsi="Times New Roman"/>
          <w:sz w:val="22"/>
        </w:rPr>
        <w:t>]</w:t>
      </w:r>
    </w:p>
    <w:p w14:paraId="15339C96" w14:textId="77777777" w:rsidR="008733D3" w:rsidRDefault="008733D3" w:rsidP="00B5440B">
      <w:pPr>
        <w:spacing w:before="0"/>
        <w:ind w:left="1134"/>
        <w:jc w:val="both"/>
        <w:rPr>
          <w:rFonts w:ascii="Times New Roman" w:hAnsi="Times New Roman"/>
          <w:sz w:val="22"/>
        </w:rPr>
      </w:pPr>
      <w:r>
        <w:rPr>
          <w:rFonts w:ascii="Times New Roman" w:hAnsi="Times New Roman"/>
          <w:sz w:val="22"/>
        </w:rPr>
        <w:t>[</w:t>
      </w:r>
      <w:r>
        <w:rPr>
          <w:rFonts w:ascii="Times New Roman" w:hAnsi="Times New Roman"/>
          <w:sz w:val="22"/>
          <w:highlight w:val="yellow"/>
        </w:rPr>
        <w:t>Marché en gestion indirecte financé par le 11</w:t>
      </w:r>
      <w:r>
        <w:rPr>
          <w:rFonts w:ascii="Times New Roman" w:hAnsi="Times New Roman"/>
          <w:sz w:val="22"/>
          <w:highlight w:val="yellow"/>
          <w:vertAlign w:val="superscript"/>
        </w:rPr>
        <w:t>e</w:t>
      </w:r>
      <w:r>
        <w:rPr>
          <w:rFonts w:ascii="Times New Roman" w:hAnsi="Times New Roman"/>
          <w:sz w:val="22"/>
          <w:highlight w:val="yellow"/>
        </w:rPr>
        <w:t xml:space="preserve"> FED, uniquement lorsque la Commission européenne effectue les </w:t>
      </w:r>
      <w:proofErr w:type="gramStart"/>
      <w:r>
        <w:rPr>
          <w:rFonts w:ascii="Times New Roman" w:hAnsi="Times New Roman"/>
          <w:sz w:val="22"/>
          <w:highlight w:val="yellow"/>
        </w:rPr>
        <w:t>paiements:</w:t>
      </w:r>
      <w:proofErr w:type="gramEnd"/>
      <w:r>
        <w:rPr>
          <w:rFonts w:ascii="Times New Roman" w:hAnsi="Times New Roman"/>
          <w:sz w:val="22"/>
        </w:rPr>
        <w:t xml:space="preserve"> </w:t>
      </w:r>
      <w:r>
        <w:rPr>
          <w:rFonts w:ascii="Times New Roman" w:hAnsi="Times New Roman"/>
          <w:sz w:val="22"/>
          <w:highlight w:val="lightGray"/>
        </w:rPr>
        <w:t>Par dérogation aux conditions générales, les paiements des préfinancements sont effectués dans les 60 jours à compter de l’enregistrement par le pouvoir adjudicateur d’une facture recevable. Le paiement final des montants dus au contractant est effectué dans les 90 jours après l’approbation provisoire des biens et réception par le pouvoir adjudicateur d’une facture recevable.</w:t>
      </w:r>
      <w:r>
        <w:rPr>
          <w:rFonts w:ascii="Times New Roman" w:hAnsi="Times New Roman"/>
          <w:sz w:val="22"/>
        </w:rPr>
        <w:t>]</w:t>
      </w:r>
    </w:p>
    <w:p w14:paraId="13D3378C" w14:textId="77777777" w:rsidR="00A0748C" w:rsidRDefault="00A0748C" w:rsidP="00A0748C">
      <w:pPr>
        <w:spacing w:before="0"/>
        <w:ind w:left="1134" w:hanging="708"/>
        <w:jc w:val="both"/>
        <w:rPr>
          <w:rFonts w:ascii="Times New Roman" w:hAnsi="Times New Roman"/>
          <w:sz w:val="22"/>
        </w:rPr>
      </w:pPr>
      <w:r>
        <w:rPr>
          <w:rFonts w:ascii="Times New Roman" w:hAnsi="Times New Roman"/>
          <w:sz w:val="22"/>
        </w:rPr>
        <w:t>26.6</w:t>
      </w:r>
      <w:r>
        <w:rPr>
          <w:rFonts w:ascii="Times New Roman" w:hAnsi="Times New Roman"/>
          <w:sz w:val="22"/>
        </w:rPr>
        <w:tab/>
      </w:r>
      <w:r>
        <w:rPr>
          <w:rFonts w:ascii="Times New Roman" w:hAnsi="Times New Roman"/>
          <w:sz w:val="22"/>
        </w:rPr>
        <w:t>[</w:t>
      </w:r>
      <w:r>
        <w:rPr>
          <w:rFonts w:ascii="Times New Roman" w:hAnsi="Times New Roman"/>
          <w:sz w:val="22"/>
          <w:highlight w:val="yellow"/>
        </w:rPr>
        <w:t>Marché en gestion indirecte financé par le budget général de l’Union et pour lequel une convention de financement a été signée avant le 1</w:t>
      </w:r>
      <w:r>
        <w:rPr>
          <w:rFonts w:ascii="Times New Roman" w:hAnsi="Times New Roman"/>
          <w:sz w:val="22"/>
          <w:highlight w:val="yellow"/>
          <w:vertAlign w:val="superscript"/>
        </w:rPr>
        <w:t>er</w:t>
      </w:r>
      <w:r>
        <w:rPr>
          <w:rFonts w:ascii="Times New Roman" w:hAnsi="Times New Roman"/>
          <w:sz w:val="22"/>
          <w:highlight w:val="yellow"/>
        </w:rPr>
        <w:t xml:space="preserve"> janvier 2013 </w:t>
      </w:r>
      <w:proofErr w:type="gramStart"/>
      <w:r>
        <w:rPr>
          <w:rFonts w:ascii="Times New Roman" w:hAnsi="Times New Roman"/>
          <w:sz w:val="22"/>
          <w:highlight w:val="yellow"/>
        </w:rPr>
        <w:t>uniquement:</w:t>
      </w:r>
      <w:proofErr w:type="gramEnd"/>
      <w:r>
        <w:rPr>
          <w:rFonts w:ascii="Times New Roman" w:hAnsi="Times New Roman"/>
          <w:sz w:val="22"/>
        </w:rPr>
        <w:t xml:space="preserve"> </w:t>
      </w:r>
      <w:r w:rsidRPr="00A0748C">
        <w:rPr>
          <w:rFonts w:ascii="Times New Roman" w:hAnsi="Times New Roman"/>
          <w:sz w:val="22"/>
          <w:highlight w:val="lightGray"/>
        </w:rPr>
        <w:t>Par dérogation, le paiement final au contractant des montants dus est effectué dans les 45 jours après l’acceptation provisoire des biens, après réception par le pouvoir adjudicateur d’une facture recevable.</w:t>
      </w:r>
      <w:r>
        <w:rPr>
          <w:rFonts w:ascii="Times New Roman" w:hAnsi="Times New Roman"/>
          <w:sz w:val="22"/>
        </w:rPr>
        <w:t>]</w:t>
      </w:r>
    </w:p>
    <w:p w14:paraId="3DEDAE81" w14:textId="77777777" w:rsidR="00A0748C" w:rsidRPr="003D6B6C" w:rsidRDefault="00A0748C" w:rsidP="00A0748C">
      <w:pPr>
        <w:spacing w:before="0"/>
        <w:ind w:left="1134"/>
        <w:jc w:val="both"/>
        <w:rPr>
          <w:rFonts w:ascii="Times New Roman" w:hAnsi="Times New Roman"/>
          <w:sz w:val="22"/>
          <w:szCs w:val="22"/>
        </w:rPr>
      </w:pPr>
      <w:r>
        <w:rPr>
          <w:rFonts w:ascii="Times New Roman" w:hAnsi="Times New Roman"/>
          <w:sz w:val="22"/>
        </w:rPr>
        <w:t>[</w:t>
      </w:r>
      <w:r>
        <w:rPr>
          <w:rFonts w:ascii="Times New Roman" w:hAnsi="Times New Roman"/>
          <w:sz w:val="22"/>
          <w:highlight w:val="yellow"/>
        </w:rPr>
        <w:t xml:space="preserve">Marché en gestion indirecte financé par le budget général de l’Union </w:t>
      </w:r>
      <w:proofErr w:type="gramStart"/>
      <w:r>
        <w:rPr>
          <w:rFonts w:ascii="Times New Roman" w:hAnsi="Times New Roman"/>
          <w:sz w:val="22"/>
          <w:highlight w:val="yellow"/>
        </w:rPr>
        <w:t>uniquement</w:t>
      </w:r>
      <w:r>
        <w:rPr>
          <w:rFonts w:ascii="Times New Roman" w:hAnsi="Times New Roman"/>
          <w:sz w:val="22"/>
        </w:rPr>
        <w:t>:</w:t>
      </w:r>
      <w:proofErr w:type="gramEnd"/>
      <w:r>
        <w:rPr>
          <w:rFonts w:ascii="Times New Roman" w:hAnsi="Times New Roman"/>
          <w:sz w:val="22"/>
        </w:rPr>
        <w:t xml:space="preserve"> </w:t>
      </w:r>
      <w:r w:rsidRPr="00A0748C">
        <w:rPr>
          <w:rFonts w:ascii="Times New Roman" w:hAnsi="Times New Roman"/>
          <w:sz w:val="22"/>
          <w:highlight w:val="lightGray"/>
        </w:rPr>
        <w:t>Par dérogation, le paiement final au contractant des montants dus est effectué dans les 90 jours après réception par le pouvoir adjudicateur d’une facture et la demande de certificat de réception provisoire.</w:t>
      </w:r>
      <w:r>
        <w:rPr>
          <w:rFonts w:ascii="Times New Roman" w:hAnsi="Times New Roman"/>
          <w:sz w:val="22"/>
        </w:rPr>
        <w:t>]</w:t>
      </w:r>
    </w:p>
    <w:p w14:paraId="780AD638" w14:textId="03FBE74A" w:rsidR="001B4DA9" w:rsidRPr="003D6B6C" w:rsidRDefault="00E87734" w:rsidP="005D03AA">
      <w:pPr>
        <w:ind w:left="1134" w:hanging="709"/>
        <w:jc w:val="both"/>
        <w:rPr>
          <w:rFonts w:ascii="Times New Roman" w:hAnsi="Times New Roman"/>
          <w:sz w:val="22"/>
          <w:szCs w:val="22"/>
        </w:rPr>
      </w:pPr>
      <w:r>
        <w:rPr>
          <w:rFonts w:ascii="Times New Roman" w:hAnsi="Times New Roman"/>
          <w:sz w:val="22"/>
        </w:rPr>
        <w:lastRenderedPageBreak/>
        <w:t>26.</w:t>
      </w:r>
      <w:r w:rsidR="00A0748C">
        <w:rPr>
          <w:rFonts w:ascii="Times New Roman" w:hAnsi="Times New Roman"/>
          <w:sz w:val="22"/>
        </w:rPr>
        <w:t>9</w:t>
      </w:r>
      <w:r>
        <w:rPr>
          <w:rFonts w:ascii="Times New Roman" w:hAnsi="Times New Roman"/>
          <w:sz w:val="22"/>
        </w:rPr>
        <w:tab/>
        <w:t>En vue d’obtenir les paiements, le contractant doit présenter à l’autorité visée à l’article 26, paragraphe 1, ci-</w:t>
      </w:r>
      <w:proofErr w:type="gramStart"/>
      <w:r>
        <w:rPr>
          <w:rFonts w:ascii="Times New Roman" w:hAnsi="Times New Roman"/>
          <w:sz w:val="22"/>
        </w:rPr>
        <w:t>dessus:</w:t>
      </w:r>
      <w:proofErr w:type="gramEnd"/>
    </w:p>
    <w:p w14:paraId="52C9173B" w14:textId="444762A0" w:rsidR="00E87734" w:rsidRPr="003D6B6C" w:rsidRDefault="00035D61" w:rsidP="00B9316C">
      <w:pPr>
        <w:ind w:left="1560" w:hanging="426"/>
        <w:jc w:val="both"/>
        <w:rPr>
          <w:rFonts w:ascii="Times New Roman" w:hAnsi="Times New Roman"/>
          <w:sz w:val="22"/>
          <w:szCs w:val="22"/>
        </w:rPr>
      </w:pPr>
      <w:r>
        <w:rPr>
          <w:rFonts w:ascii="Times New Roman" w:hAnsi="Times New Roman"/>
          <w:sz w:val="22"/>
        </w:rPr>
        <w:t>a)</w:t>
      </w:r>
      <w:r>
        <w:rPr>
          <w:rFonts w:ascii="Times New Roman" w:hAnsi="Times New Roman"/>
          <w:b/>
          <w:sz w:val="22"/>
        </w:rPr>
        <w:tab/>
        <w:t>[</w:t>
      </w:r>
      <w:r>
        <w:rPr>
          <w:rFonts w:ascii="Times New Roman" w:hAnsi="Times New Roman"/>
          <w:sz w:val="22"/>
          <w:highlight w:val="lightGray"/>
        </w:rPr>
        <w:t>Pour le préfinancement de 40 %</w:t>
      </w:r>
      <w:r>
        <w:rPr>
          <w:rFonts w:ascii="Times New Roman" w:hAnsi="Times New Roman"/>
          <w:sz w:val="22"/>
        </w:rPr>
        <w:t>], [</w:t>
      </w:r>
      <w:r>
        <w:rPr>
          <w:rFonts w:ascii="Times New Roman" w:hAnsi="Times New Roman"/>
          <w:sz w:val="22"/>
          <w:highlight w:val="lightGray"/>
        </w:rPr>
        <w:t>la facture</w:t>
      </w:r>
      <w:r w:rsidR="001C6A79">
        <w:rPr>
          <w:rStyle w:val="FootnoteReference"/>
          <w:rFonts w:ascii="Times New Roman" w:hAnsi="Times New Roman"/>
          <w:sz w:val="22"/>
          <w:szCs w:val="22"/>
          <w:highlight w:val="lightGray"/>
        </w:rPr>
        <w:footnoteReference w:id="4"/>
      </w:r>
      <w:r>
        <w:rPr>
          <w:rFonts w:ascii="Times New Roman" w:hAnsi="Times New Roman"/>
          <w:sz w:val="22"/>
        </w:rPr>
        <w:t>] [</w:t>
      </w:r>
      <w:r>
        <w:rPr>
          <w:rFonts w:ascii="Times New Roman" w:hAnsi="Times New Roman"/>
          <w:sz w:val="22"/>
          <w:highlight w:val="lightGray"/>
        </w:rPr>
        <w:t>et</w:t>
      </w:r>
      <w:r>
        <w:rPr>
          <w:rFonts w:ascii="Times New Roman" w:hAnsi="Times New Roman"/>
          <w:sz w:val="22"/>
        </w:rPr>
        <w:t>] [</w:t>
      </w:r>
      <w:r>
        <w:rPr>
          <w:rFonts w:ascii="Times New Roman" w:hAnsi="Times New Roman"/>
          <w:sz w:val="22"/>
          <w:highlight w:val="lightGray"/>
        </w:rPr>
        <w:t xml:space="preserve">la garantie de </w:t>
      </w:r>
      <w:proofErr w:type="gramStart"/>
      <w:r>
        <w:rPr>
          <w:rFonts w:ascii="Times New Roman" w:hAnsi="Times New Roman"/>
          <w:sz w:val="22"/>
          <w:highlight w:val="lightGray"/>
        </w:rPr>
        <w:t>préfinancement</w:t>
      </w:r>
      <w:r>
        <w:rPr>
          <w:rFonts w:ascii="Times New Roman" w:hAnsi="Times New Roman"/>
          <w:sz w:val="22"/>
        </w:rPr>
        <w:t>][</w:t>
      </w:r>
      <w:proofErr w:type="gramEnd"/>
      <w:r>
        <w:rPr>
          <w:rFonts w:ascii="Times New Roman" w:hAnsi="Times New Roman"/>
          <w:sz w:val="22"/>
          <w:highlight w:val="yellow"/>
        </w:rPr>
        <w:t xml:space="preserve">et insérer l’une des phrases ci-dessous: </w:t>
      </w:r>
    </w:p>
    <w:p w14:paraId="078D1A10" w14:textId="7F2B1FB5" w:rsidR="00E87734" w:rsidRDefault="00695007" w:rsidP="00035D61">
      <w:pPr>
        <w:spacing w:before="0" w:after="0"/>
        <w:ind w:left="1985" w:hanging="284"/>
        <w:jc w:val="both"/>
        <w:rPr>
          <w:rFonts w:ascii="Times New Roman" w:hAnsi="Times New Roman"/>
          <w:sz w:val="22"/>
          <w:szCs w:val="22"/>
          <w:highlight w:val="yellow"/>
        </w:rPr>
      </w:pPr>
      <w:r>
        <w:rPr>
          <w:rFonts w:ascii="Times New Roman" w:hAnsi="Times New Roman"/>
          <w:sz w:val="22"/>
          <w:highlight w:val="yellow"/>
        </w:rPr>
        <w:t>[</w:t>
      </w:r>
      <w:proofErr w:type="gramStart"/>
      <w:r>
        <w:rPr>
          <w:rFonts w:ascii="Times New Roman" w:hAnsi="Times New Roman"/>
          <w:sz w:val="22"/>
          <w:highlight w:val="yellow"/>
        </w:rPr>
        <w:t>si</w:t>
      </w:r>
      <w:proofErr w:type="gramEnd"/>
      <w:r>
        <w:rPr>
          <w:rFonts w:ascii="Times New Roman" w:hAnsi="Times New Roman"/>
          <w:sz w:val="22"/>
          <w:highlight w:val="yellow"/>
        </w:rPr>
        <w:t xml:space="preserve"> le montant total du marché est inférieur ou égal à 60 000 EUR:] </w:t>
      </w:r>
    </w:p>
    <w:p w14:paraId="4B2D934E" w14:textId="019F6414" w:rsidR="00695007" w:rsidRPr="003D6B6C" w:rsidRDefault="00695007" w:rsidP="00B5440B">
      <w:pPr>
        <w:spacing w:before="0"/>
        <w:ind w:left="1985"/>
        <w:jc w:val="both"/>
        <w:rPr>
          <w:rFonts w:ascii="Times New Roman" w:hAnsi="Times New Roman"/>
          <w:bCs/>
          <w:sz w:val="22"/>
          <w:szCs w:val="22"/>
        </w:rPr>
      </w:pPr>
      <w:r>
        <w:rPr>
          <w:rFonts w:ascii="Times New Roman" w:hAnsi="Times New Roman"/>
          <w:sz w:val="22"/>
          <w:highlight w:val="lightGray"/>
        </w:rPr>
        <w:t>[</w:t>
      </w:r>
      <w:proofErr w:type="gramStart"/>
      <w:r>
        <w:rPr>
          <w:rFonts w:ascii="Times New Roman" w:hAnsi="Times New Roman"/>
          <w:sz w:val="22"/>
          <w:highlight w:val="lightGray"/>
        </w:rPr>
        <w:t>par</w:t>
      </w:r>
      <w:proofErr w:type="gramEnd"/>
      <w:r>
        <w:rPr>
          <w:rFonts w:ascii="Times New Roman" w:hAnsi="Times New Roman"/>
          <w:sz w:val="22"/>
          <w:highlight w:val="lightGray"/>
        </w:rPr>
        <w:t xml:space="preserve"> dérogation à l’article 26, paragraphe 5, des conditions générales, aucune garantie de préfinancement n’est exigée</w:t>
      </w:r>
      <w:r>
        <w:rPr>
          <w:rFonts w:ascii="Times New Roman" w:hAnsi="Times New Roman"/>
          <w:sz w:val="22"/>
        </w:rPr>
        <w:t>;]</w:t>
      </w:r>
    </w:p>
    <w:p w14:paraId="7210CE46" w14:textId="3161ADDD" w:rsidR="00695007" w:rsidRDefault="00695007" w:rsidP="00695007">
      <w:pPr>
        <w:spacing w:before="0" w:after="0"/>
        <w:ind w:left="1985" w:hanging="284"/>
        <w:jc w:val="both"/>
        <w:rPr>
          <w:rFonts w:ascii="Times New Roman" w:hAnsi="Times New Roman"/>
          <w:sz w:val="22"/>
          <w:szCs w:val="22"/>
          <w:highlight w:val="yellow"/>
        </w:rPr>
      </w:pPr>
      <w:r>
        <w:rPr>
          <w:rFonts w:ascii="Times New Roman" w:hAnsi="Times New Roman"/>
          <w:sz w:val="22"/>
          <w:highlight w:val="yellow"/>
        </w:rPr>
        <w:t>[</w:t>
      </w:r>
      <w:proofErr w:type="gramStart"/>
      <w:r>
        <w:rPr>
          <w:rFonts w:ascii="Times New Roman" w:hAnsi="Times New Roman"/>
          <w:sz w:val="22"/>
          <w:highlight w:val="yellow"/>
        </w:rPr>
        <w:t>si</w:t>
      </w:r>
      <w:proofErr w:type="gramEnd"/>
      <w:r>
        <w:rPr>
          <w:rFonts w:ascii="Times New Roman" w:hAnsi="Times New Roman"/>
          <w:sz w:val="22"/>
          <w:highlight w:val="yellow"/>
        </w:rPr>
        <w:t xml:space="preserve"> le montant total du marché est supérieur à 60 000 EUR et lorsque le préfinancement demandé est inférieur à 300 000 EUR:] </w:t>
      </w:r>
    </w:p>
    <w:p w14:paraId="09C649BF" w14:textId="4C368A0F" w:rsidR="00E87734" w:rsidRPr="003D6B6C" w:rsidRDefault="00695007" w:rsidP="0011156A">
      <w:pPr>
        <w:spacing w:before="0" w:after="0"/>
        <w:ind w:left="1985"/>
        <w:jc w:val="both"/>
        <w:rPr>
          <w:rFonts w:ascii="Times New Roman" w:hAnsi="Times New Roman"/>
          <w:bCs/>
          <w:sz w:val="22"/>
          <w:szCs w:val="22"/>
        </w:rPr>
      </w:pPr>
      <w:r>
        <w:rPr>
          <w:rFonts w:ascii="Times New Roman" w:hAnsi="Times New Roman"/>
          <w:sz w:val="22"/>
          <w:highlight w:val="lightGray"/>
        </w:rPr>
        <w:t>[</w:t>
      </w:r>
      <w:proofErr w:type="gramStart"/>
      <w:r>
        <w:rPr>
          <w:rFonts w:ascii="Times New Roman" w:hAnsi="Times New Roman"/>
          <w:sz w:val="22"/>
          <w:highlight w:val="lightGray"/>
        </w:rPr>
        <w:t>par</w:t>
      </w:r>
      <w:proofErr w:type="gramEnd"/>
      <w:r>
        <w:rPr>
          <w:rFonts w:ascii="Times New Roman" w:hAnsi="Times New Roman"/>
          <w:sz w:val="22"/>
          <w:highlight w:val="lightGray"/>
        </w:rPr>
        <w:t xml:space="preserve"> dérogation à l’article 26, paragraphe 5, des conditions générales, aucune garantie de préfinancement n’est exigée</w:t>
      </w:r>
      <w:r w:rsidR="00F0405C" w:rsidRPr="00B5440B">
        <w:rPr>
          <w:rStyle w:val="FootnoteReference"/>
          <w:rFonts w:ascii="Times New Roman" w:hAnsi="Times New Roman"/>
          <w:bCs/>
          <w:sz w:val="22"/>
          <w:szCs w:val="22"/>
          <w:highlight w:val="yellow"/>
        </w:rPr>
        <w:footnoteReference w:id="5"/>
      </w:r>
      <w:r>
        <w:rPr>
          <w:rFonts w:ascii="Times New Roman" w:hAnsi="Times New Roman"/>
          <w:sz w:val="22"/>
          <w:highlight w:val="yellow"/>
        </w:rPr>
        <w:t>;</w:t>
      </w:r>
      <w:r>
        <w:rPr>
          <w:rFonts w:ascii="Times New Roman" w:hAnsi="Times New Roman"/>
          <w:sz w:val="22"/>
        </w:rPr>
        <w:t>]</w:t>
      </w:r>
    </w:p>
    <w:p w14:paraId="1707D0AC" w14:textId="6C11EDD8" w:rsidR="0047783A" w:rsidRPr="003D6B6C" w:rsidRDefault="0047783A" w:rsidP="00035D61">
      <w:pPr>
        <w:spacing w:after="0"/>
        <w:ind w:left="1559" w:hanging="425"/>
        <w:jc w:val="both"/>
        <w:rPr>
          <w:rFonts w:ascii="Times New Roman" w:hAnsi="Times New Roman"/>
          <w:sz w:val="22"/>
          <w:szCs w:val="22"/>
        </w:rPr>
      </w:pPr>
      <w:r>
        <w:rPr>
          <w:rFonts w:ascii="Times New Roman" w:hAnsi="Times New Roman"/>
          <w:sz w:val="22"/>
        </w:rPr>
        <w:t>b)</w:t>
      </w:r>
      <w:r>
        <w:rPr>
          <w:rFonts w:ascii="Times New Roman" w:hAnsi="Times New Roman"/>
          <w:b/>
          <w:sz w:val="22"/>
        </w:rPr>
        <w:tab/>
        <w:t>[</w:t>
      </w:r>
      <w:r>
        <w:rPr>
          <w:rFonts w:ascii="Times New Roman" w:hAnsi="Times New Roman"/>
          <w:sz w:val="22"/>
          <w:highlight w:val="lightGray"/>
        </w:rPr>
        <w:t>Pour le paiement du solde de 60 %]</w:t>
      </w:r>
      <w:r>
        <w:rPr>
          <w:rFonts w:ascii="Times New Roman" w:hAnsi="Times New Roman"/>
          <w:b/>
          <w:sz w:val="22"/>
        </w:rPr>
        <w:t xml:space="preserve"> [</w:t>
      </w:r>
      <w:r>
        <w:rPr>
          <w:rFonts w:ascii="Times New Roman" w:hAnsi="Times New Roman"/>
          <w:sz w:val="22"/>
          <w:highlight w:val="lightGray"/>
        </w:rPr>
        <w:t>Pour le paiement de la totalité du solde]</w:t>
      </w:r>
      <w:r>
        <w:rPr>
          <w:rFonts w:ascii="Times New Roman" w:hAnsi="Times New Roman"/>
          <w:sz w:val="22"/>
        </w:rPr>
        <w:t xml:space="preserve">, la (les) facture(s) </w:t>
      </w:r>
      <w:r>
        <w:rPr>
          <w:rFonts w:ascii="Times New Roman" w:hAnsi="Times New Roman"/>
          <w:sz w:val="22"/>
          <w:highlight w:val="lightGray"/>
        </w:rPr>
        <w:t>[en trois exemplaires]</w:t>
      </w:r>
      <w:r>
        <w:rPr>
          <w:rFonts w:ascii="Times New Roman" w:hAnsi="Times New Roman"/>
          <w:sz w:val="22"/>
        </w:rPr>
        <w:t xml:space="preserve"> </w:t>
      </w:r>
      <w:r w:rsidR="00A77D08">
        <w:rPr>
          <w:rFonts w:ascii="Times New Roman" w:hAnsi="Times New Roman"/>
          <w:sz w:val="22"/>
        </w:rPr>
        <w:t>et</w:t>
      </w:r>
      <w:r>
        <w:rPr>
          <w:rFonts w:ascii="Times New Roman" w:hAnsi="Times New Roman"/>
          <w:sz w:val="22"/>
        </w:rPr>
        <w:t xml:space="preserve"> la demande de </w:t>
      </w:r>
      <w:r w:rsidR="007B144E">
        <w:rPr>
          <w:rFonts w:ascii="Times New Roman" w:hAnsi="Times New Roman"/>
          <w:sz w:val="22"/>
        </w:rPr>
        <w:t xml:space="preserve">certificat de </w:t>
      </w:r>
      <w:r>
        <w:rPr>
          <w:rFonts w:ascii="Times New Roman" w:hAnsi="Times New Roman"/>
          <w:sz w:val="22"/>
        </w:rPr>
        <w:t>réception provisoire</w:t>
      </w:r>
      <w:r w:rsidR="007B144E">
        <w:rPr>
          <w:rFonts w:ascii="Times New Roman" w:hAnsi="Times New Roman"/>
          <w:sz w:val="22"/>
        </w:rPr>
        <w:t xml:space="preserve"> et, le cas échéant, </w:t>
      </w:r>
      <w:r w:rsidR="007B144E" w:rsidRPr="007B144E">
        <w:rPr>
          <w:rFonts w:ascii="Times New Roman" w:hAnsi="Times New Roman"/>
          <w:sz w:val="22"/>
        </w:rPr>
        <w:t>les certificats d'origine des fournitures livrées</w:t>
      </w:r>
      <w:r w:rsidR="007B144E">
        <w:rPr>
          <w:rFonts w:ascii="Times New Roman" w:hAnsi="Times New Roman"/>
          <w:sz w:val="22"/>
        </w:rPr>
        <w:t xml:space="preserve"> et</w:t>
      </w:r>
      <w:r w:rsidR="00341763">
        <w:rPr>
          <w:rFonts w:ascii="Times New Roman" w:hAnsi="Times New Roman"/>
          <w:sz w:val="22"/>
        </w:rPr>
        <w:t xml:space="preserve"> </w:t>
      </w:r>
      <w:r w:rsidR="001744FE">
        <w:rPr>
          <w:rFonts w:ascii="Times New Roman" w:hAnsi="Times New Roman"/>
          <w:sz w:val="22"/>
        </w:rPr>
        <w:t>l’</w:t>
      </w:r>
      <w:r w:rsidR="00341763" w:rsidRPr="00341763">
        <w:rPr>
          <w:rFonts w:ascii="Times New Roman" w:hAnsi="Times New Roman"/>
          <w:sz w:val="22"/>
        </w:rPr>
        <w:t>annexe V</w:t>
      </w:r>
      <w:r w:rsidR="001744FE">
        <w:rPr>
          <w:rFonts w:ascii="Times New Roman" w:hAnsi="Times New Roman"/>
          <w:sz w:val="22"/>
        </w:rPr>
        <w:t xml:space="preserve"> - I</w:t>
      </w:r>
      <w:r w:rsidR="001744FE" w:rsidRPr="001744FE">
        <w:rPr>
          <w:rFonts w:ascii="Times New Roman" w:hAnsi="Times New Roman"/>
          <w:sz w:val="22"/>
        </w:rPr>
        <w:t>nstructions relatives à la TVA</w:t>
      </w:r>
      <w:r w:rsidR="00603C25">
        <w:rPr>
          <w:rFonts w:ascii="Times New Roman" w:hAnsi="Times New Roman"/>
          <w:sz w:val="22"/>
        </w:rPr>
        <w:t xml:space="preserve"> indiquant les p</w:t>
      </w:r>
      <w:r w:rsidR="00603C25" w:rsidRPr="00603C25">
        <w:rPr>
          <w:rFonts w:ascii="Times New Roman" w:hAnsi="Times New Roman"/>
          <w:sz w:val="22"/>
        </w:rPr>
        <w:t>arts des membres du groupement</w:t>
      </w:r>
      <w:r w:rsidR="00603C25">
        <w:rPr>
          <w:rFonts w:ascii="Times New Roman" w:hAnsi="Times New Roman"/>
          <w:sz w:val="22"/>
        </w:rPr>
        <w:t xml:space="preserve"> </w:t>
      </w:r>
      <w:r w:rsidR="00603C25" w:rsidRPr="00603C25">
        <w:rPr>
          <w:rFonts w:ascii="Times New Roman" w:hAnsi="Times New Roman"/>
          <w:sz w:val="22"/>
        </w:rPr>
        <w:t>aux fins de la TVA</w:t>
      </w:r>
      <w:r>
        <w:rPr>
          <w:rFonts w:ascii="Times New Roman" w:hAnsi="Times New Roman"/>
          <w:sz w:val="22"/>
        </w:rPr>
        <w:t>.</w:t>
      </w:r>
    </w:p>
    <w:p w14:paraId="21DD1760" w14:textId="4D8E2F90" w:rsidR="0047783A" w:rsidRDefault="0047783A" w:rsidP="006B145B">
      <w:pPr>
        <w:tabs>
          <w:tab w:val="right" w:pos="9885"/>
        </w:tabs>
        <w:ind w:left="1134" w:hanging="709"/>
        <w:jc w:val="both"/>
        <w:rPr>
          <w:rFonts w:ascii="Times New Roman" w:hAnsi="Times New Roman"/>
          <w:color w:val="000000"/>
          <w:sz w:val="22"/>
          <w:szCs w:val="22"/>
        </w:rPr>
      </w:pPr>
      <w:r>
        <w:rPr>
          <w:rFonts w:ascii="Times New Roman" w:hAnsi="Times New Roman"/>
          <w:sz w:val="22"/>
        </w:rPr>
        <w:t>26.</w:t>
      </w:r>
      <w:r w:rsidR="00A0748C">
        <w:rPr>
          <w:rFonts w:ascii="Times New Roman" w:hAnsi="Times New Roman"/>
          <w:sz w:val="22"/>
        </w:rPr>
        <w:t>13</w:t>
      </w:r>
      <w:r>
        <w:rPr>
          <w:rFonts w:ascii="Times New Roman" w:hAnsi="Times New Roman"/>
          <w:b/>
          <w:sz w:val="22"/>
        </w:rPr>
        <w:tab/>
      </w:r>
      <w:r>
        <w:rPr>
          <w:rFonts w:ascii="Times New Roman" w:hAnsi="Times New Roman"/>
          <w:color w:val="000000"/>
          <w:sz w:val="22"/>
        </w:rPr>
        <w:t>&lt;</w:t>
      </w:r>
      <w:r>
        <w:rPr>
          <w:rFonts w:ascii="Times New Roman" w:hAnsi="Times New Roman"/>
          <w:color w:val="000000"/>
          <w:sz w:val="22"/>
          <w:highlight w:val="yellow"/>
        </w:rPr>
        <w:t>Indiquer si le marché comporte une clause de révision des prix. Celle-ci doit être établie conformément aux instructions internes par les services compétents de la Commission européenne</w:t>
      </w:r>
      <w:r>
        <w:rPr>
          <w:rFonts w:ascii="Times New Roman" w:hAnsi="Times New Roman"/>
          <w:color w:val="000000"/>
          <w:sz w:val="22"/>
        </w:rPr>
        <w:t>&gt;</w:t>
      </w:r>
    </w:p>
    <w:p w14:paraId="60E2B580" w14:textId="2EB9320B" w:rsidR="006A601D" w:rsidRPr="003D6B6C" w:rsidRDefault="006A601D" w:rsidP="006B145B">
      <w:pPr>
        <w:tabs>
          <w:tab w:val="right" w:pos="9885"/>
        </w:tabs>
        <w:ind w:left="1134" w:hanging="709"/>
        <w:jc w:val="both"/>
        <w:rPr>
          <w:rFonts w:ascii="Times New Roman" w:hAnsi="Times New Roman"/>
          <w:b/>
          <w:sz w:val="22"/>
          <w:szCs w:val="22"/>
        </w:rPr>
      </w:pPr>
      <w:r>
        <w:rPr>
          <w:rFonts w:ascii="Times New Roman" w:hAnsi="Times New Roman"/>
          <w:color w:val="000000"/>
          <w:sz w:val="22"/>
        </w:rPr>
        <w:t>26.1</w:t>
      </w:r>
      <w:r w:rsidR="00A0748C">
        <w:rPr>
          <w:rFonts w:ascii="Times New Roman" w:hAnsi="Times New Roman"/>
          <w:color w:val="000000"/>
          <w:sz w:val="22"/>
        </w:rPr>
        <w:t>4</w:t>
      </w:r>
      <w:r>
        <w:rPr>
          <w:rFonts w:ascii="Times New Roman" w:hAnsi="Times New Roman"/>
          <w:color w:val="000000"/>
          <w:sz w:val="22"/>
        </w:rPr>
        <w:tab/>
      </w:r>
      <w:bookmarkStart w:id="27" w:name="_Hlk169016590"/>
      <w:r>
        <w:rPr>
          <w:rFonts w:ascii="Times New Roman" w:hAnsi="Times New Roman"/>
          <w:color w:val="000000"/>
          <w:sz w:val="22"/>
        </w:rPr>
        <w:t>[</w:t>
      </w:r>
      <w:r>
        <w:rPr>
          <w:rFonts w:ascii="Times New Roman" w:hAnsi="Times New Roman"/>
          <w:color w:val="000000"/>
          <w:sz w:val="22"/>
          <w:highlight w:val="yellow"/>
        </w:rPr>
        <w:t>Le contractant (y compris chaque membre du groupement dans le cas d’un consortium) est titulaire d’une dette en souffrance envers l’Union</w:t>
      </w:r>
      <w:r>
        <w:rPr>
          <w:rStyle w:val="FootnoteReference"/>
          <w:rFonts w:ascii="Times New Roman" w:hAnsi="Times New Roman"/>
          <w:bCs/>
          <w:color w:val="000000"/>
          <w:sz w:val="22"/>
          <w:szCs w:val="22"/>
          <w:highlight w:val="yellow"/>
        </w:rPr>
        <w:footnoteReference w:id="6"/>
      </w:r>
      <w:r>
        <w:rPr>
          <w:rFonts w:ascii="Times New Roman" w:hAnsi="Times New Roman"/>
          <w:color w:val="000000"/>
          <w:sz w:val="22"/>
        </w:rPr>
        <w:t xml:space="preserve">: </w:t>
      </w:r>
      <w:r>
        <w:rPr>
          <w:rFonts w:ascii="Times New Roman" w:hAnsi="Times New Roman"/>
          <w:color w:val="000000"/>
          <w:sz w:val="22"/>
          <w:highlight w:val="lightGray"/>
        </w:rPr>
        <w:t>Tout paiement peut être réglé par compensation avec des dettes en souffrance de tout membre du consortium</w:t>
      </w:r>
      <w:r>
        <w:rPr>
          <w:rFonts w:ascii="Times New Roman" w:hAnsi="Times New Roman"/>
          <w:color w:val="000000"/>
          <w:sz w:val="22"/>
        </w:rPr>
        <w:t>.]</w:t>
      </w:r>
      <w:bookmarkEnd w:id="27"/>
    </w:p>
    <w:p w14:paraId="39D67CE4" w14:textId="77777777" w:rsidR="0047783A" w:rsidRPr="003D6B6C" w:rsidRDefault="0047783A" w:rsidP="00B34179">
      <w:pPr>
        <w:spacing w:before="240"/>
        <w:ind w:left="1134" w:hanging="1134"/>
        <w:jc w:val="both"/>
        <w:rPr>
          <w:rFonts w:ascii="Times New Roman" w:hAnsi="Times New Roman"/>
          <w:b/>
          <w:sz w:val="24"/>
          <w:szCs w:val="24"/>
        </w:rPr>
      </w:pPr>
      <w:bookmarkStart w:id="28" w:name="_Toc124934913"/>
      <w:r>
        <w:rPr>
          <w:rFonts w:ascii="Times New Roman" w:hAnsi="Times New Roman"/>
          <w:b/>
          <w:sz w:val="24"/>
        </w:rPr>
        <w:t>Article 28</w:t>
      </w:r>
      <w:r>
        <w:rPr>
          <w:rFonts w:ascii="Times New Roman" w:hAnsi="Times New Roman"/>
          <w:b/>
          <w:sz w:val="24"/>
        </w:rPr>
        <w:tab/>
        <w:t>Retards de paiement</w:t>
      </w:r>
    </w:p>
    <w:p w14:paraId="74820773" w14:textId="77777777" w:rsidR="0047783A" w:rsidRPr="003D6B6C" w:rsidRDefault="0047783A" w:rsidP="006B145B">
      <w:pPr>
        <w:autoSpaceDE w:val="0"/>
        <w:autoSpaceDN w:val="0"/>
        <w:adjustRightInd w:val="0"/>
        <w:ind w:left="1134" w:hanging="709"/>
        <w:jc w:val="both"/>
        <w:rPr>
          <w:rFonts w:ascii="Times New Roman" w:hAnsi="Times New Roman"/>
          <w:snapToGrid/>
          <w:sz w:val="22"/>
          <w:szCs w:val="22"/>
        </w:rPr>
      </w:pPr>
      <w:r>
        <w:rPr>
          <w:rFonts w:ascii="Times New Roman" w:hAnsi="Times New Roman"/>
          <w:sz w:val="22"/>
        </w:rPr>
        <w:t>28.2</w:t>
      </w:r>
      <w:r>
        <w:rPr>
          <w:rFonts w:ascii="Times New Roman" w:hAnsi="Times New Roman"/>
          <w:b/>
          <w:sz w:val="22"/>
        </w:rPr>
        <w:tab/>
      </w:r>
      <w:r>
        <w:rPr>
          <w:rFonts w:ascii="Times New Roman" w:hAnsi="Times New Roman"/>
          <w:sz w:val="22"/>
        </w:rPr>
        <w:t>[</w:t>
      </w:r>
      <w:r>
        <w:rPr>
          <w:rFonts w:ascii="Times New Roman" w:hAnsi="Times New Roman"/>
          <w:snapToGrid/>
          <w:sz w:val="22"/>
          <w:highlight w:val="yellow"/>
        </w:rPr>
        <w:t xml:space="preserve">En gestion </w:t>
      </w:r>
      <w:proofErr w:type="gramStart"/>
      <w:r>
        <w:rPr>
          <w:rFonts w:ascii="Times New Roman" w:hAnsi="Times New Roman"/>
          <w:snapToGrid/>
          <w:sz w:val="22"/>
          <w:highlight w:val="yellow"/>
        </w:rPr>
        <w:t>indirecte:</w:t>
      </w:r>
      <w:proofErr w:type="gramEnd"/>
    </w:p>
    <w:p w14:paraId="3B64B1B3" w14:textId="77777777" w:rsidR="0047783A" w:rsidRPr="003D6B6C" w:rsidRDefault="0047783A" w:rsidP="006B145B">
      <w:pPr>
        <w:tabs>
          <w:tab w:val="right" w:pos="5678"/>
        </w:tabs>
        <w:ind w:left="1134"/>
        <w:jc w:val="both"/>
        <w:rPr>
          <w:rFonts w:ascii="Times New Roman" w:hAnsi="Times New Roman"/>
          <w:snapToGrid/>
          <w:sz w:val="22"/>
          <w:szCs w:val="22"/>
        </w:rPr>
      </w:pPr>
      <w:r>
        <w:rPr>
          <w:rFonts w:ascii="Times New Roman" w:hAnsi="Times New Roman"/>
          <w:snapToGrid/>
          <w:sz w:val="22"/>
          <w:highlight w:val="lightGray"/>
        </w:rPr>
        <w:t>Par dérogation à l’article 28, paragraphe 2, des conditions générales</w:t>
      </w:r>
      <w:r>
        <w:rPr>
          <w:rFonts w:ascii="Times New Roman" w:hAnsi="Times New Roman"/>
          <w:sz w:val="22"/>
          <w:highlight w:val="lightGray"/>
        </w:rPr>
        <w:t xml:space="preserve">, à l’expiration du délai prévu à l’article 26, paragraphe 3, il est versé au contractant des intérêts de retard s’il en fait la demande au taux et pour </w:t>
      </w:r>
      <w:proofErr w:type="gramStart"/>
      <w:r>
        <w:rPr>
          <w:rFonts w:ascii="Times New Roman" w:hAnsi="Times New Roman"/>
          <w:sz w:val="22"/>
          <w:highlight w:val="lightGray"/>
        </w:rPr>
        <w:t>la période visés</w:t>
      </w:r>
      <w:proofErr w:type="gramEnd"/>
      <w:r>
        <w:rPr>
          <w:rFonts w:ascii="Times New Roman" w:hAnsi="Times New Roman"/>
          <w:sz w:val="22"/>
          <w:highlight w:val="lightGray"/>
        </w:rPr>
        <w:t xml:space="preserve"> aux conditions générales. La demande doit être reçue dans les deux mois suivant la date du paiement tardif.</w:t>
      </w:r>
      <w:r>
        <w:rPr>
          <w:rFonts w:ascii="Times New Roman" w:hAnsi="Times New Roman"/>
          <w:snapToGrid/>
          <w:sz w:val="22"/>
        </w:rPr>
        <w:t>]</w:t>
      </w:r>
    </w:p>
    <w:p w14:paraId="210201A9" w14:textId="4F7A92A8" w:rsidR="0047783A" w:rsidRDefault="0047783A" w:rsidP="00B34179">
      <w:pPr>
        <w:spacing w:before="240"/>
        <w:ind w:left="1134" w:hanging="1134"/>
        <w:jc w:val="both"/>
        <w:rPr>
          <w:rFonts w:ascii="Times New Roman" w:hAnsi="Times New Roman"/>
          <w:b/>
          <w:sz w:val="24"/>
          <w:szCs w:val="24"/>
        </w:rPr>
      </w:pPr>
      <w:r>
        <w:rPr>
          <w:rFonts w:ascii="Times New Roman" w:hAnsi="Times New Roman"/>
          <w:b/>
          <w:sz w:val="24"/>
        </w:rPr>
        <w:t>Article 29</w:t>
      </w:r>
      <w:r>
        <w:rPr>
          <w:rFonts w:ascii="Times New Roman" w:hAnsi="Times New Roman"/>
          <w:b/>
          <w:sz w:val="24"/>
        </w:rPr>
        <w:tab/>
        <w:t>Livraison</w:t>
      </w:r>
      <w:bookmarkEnd w:id="28"/>
    </w:p>
    <w:p w14:paraId="2C5926D3" w14:textId="1207AD87" w:rsidR="00BD1517" w:rsidRPr="003D6B6C" w:rsidRDefault="00BD1517" w:rsidP="00B34179">
      <w:pPr>
        <w:spacing w:before="240"/>
        <w:ind w:left="1134" w:hanging="1134"/>
        <w:jc w:val="both"/>
        <w:rPr>
          <w:rFonts w:ascii="Times New Roman" w:hAnsi="Times New Roman"/>
          <w:b/>
          <w:sz w:val="24"/>
          <w:szCs w:val="24"/>
        </w:rPr>
      </w:pPr>
      <w:r>
        <w:rPr>
          <w:rFonts w:ascii="Times New Roman" w:hAnsi="Times New Roman"/>
          <w:sz w:val="22"/>
        </w:rPr>
        <w:t>29.1 L’Incoterm applicable est [</w:t>
      </w:r>
      <w:r>
        <w:rPr>
          <w:rFonts w:ascii="Times New Roman" w:hAnsi="Times New Roman"/>
          <w:sz w:val="22"/>
          <w:highlight w:val="yellow"/>
        </w:rPr>
        <w:t>DDP</w:t>
      </w:r>
      <w:r>
        <w:rPr>
          <w:rFonts w:ascii="Times New Roman" w:hAnsi="Times New Roman"/>
          <w:sz w:val="22"/>
        </w:rPr>
        <w:t>] [</w:t>
      </w:r>
      <w:r>
        <w:rPr>
          <w:rFonts w:ascii="Times New Roman" w:hAnsi="Times New Roman"/>
          <w:sz w:val="22"/>
          <w:highlight w:val="yellow"/>
        </w:rPr>
        <w:t>DAP</w:t>
      </w:r>
      <w:r>
        <w:rPr>
          <w:rFonts w:ascii="Times New Roman" w:hAnsi="Times New Roman"/>
          <w:sz w:val="22"/>
        </w:rPr>
        <w:t>]</w:t>
      </w:r>
      <w:r w:rsidRPr="0043240C">
        <w:rPr>
          <w:rFonts w:ascii="Times New Roman" w:hAnsi="Times New Roman"/>
          <w:sz w:val="22"/>
          <w:vertAlign w:val="superscript"/>
        </w:rPr>
        <w:footnoteReference w:id="7"/>
      </w:r>
    </w:p>
    <w:p w14:paraId="65067DDE" w14:textId="77777777" w:rsidR="0047783A" w:rsidRPr="003D6B6C" w:rsidRDefault="0047783A" w:rsidP="006B145B">
      <w:pPr>
        <w:ind w:left="1134" w:hanging="709"/>
        <w:jc w:val="both"/>
        <w:rPr>
          <w:rFonts w:ascii="Times New Roman" w:hAnsi="Times New Roman"/>
          <w:b/>
          <w:sz w:val="22"/>
          <w:szCs w:val="22"/>
        </w:rPr>
      </w:pPr>
      <w:r>
        <w:rPr>
          <w:rFonts w:ascii="Times New Roman" w:hAnsi="Times New Roman"/>
          <w:sz w:val="22"/>
        </w:rPr>
        <w:t>29.3</w:t>
      </w:r>
      <w:r>
        <w:rPr>
          <w:rFonts w:ascii="Times New Roman" w:hAnsi="Times New Roman"/>
          <w:b/>
          <w:sz w:val="22"/>
        </w:rPr>
        <w:tab/>
      </w:r>
      <w:r>
        <w:rPr>
          <w:rFonts w:ascii="Times New Roman" w:hAnsi="Times New Roman"/>
          <w:sz w:val="22"/>
        </w:rPr>
        <w:t>&lt;</w:t>
      </w:r>
      <w:r>
        <w:rPr>
          <w:rFonts w:ascii="Times New Roman" w:hAnsi="Times New Roman"/>
          <w:sz w:val="22"/>
          <w:highlight w:val="yellow"/>
        </w:rPr>
        <w:t>Indiquer les exigences spécifiques d’emballage</w:t>
      </w:r>
      <w:r>
        <w:rPr>
          <w:rFonts w:ascii="Times New Roman" w:hAnsi="Times New Roman"/>
          <w:sz w:val="22"/>
        </w:rPr>
        <w:t>&gt;</w:t>
      </w:r>
    </w:p>
    <w:p w14:paraId="4517A6CF" w14:textId="77777777" w:rsidR="0047783A" w:rsidRPr="003D6B6C" w:rsidRDefault="0047783A" w:rsidP="006B145B">
      <w:pPr>
        <w:ind w:left="1134"/>
        <w:jc w:val="both"/>
        <w:rPr>
          <w:rFonts w:ascii="Times New Roman" w:hAnsi="Times New Roman"/>
          <w:sz w:val="22"/>
          <w:szCs w:val="22"/>
        </w:rPr>
      </w:pPr>
      <w:r>
        <w:rPr>
          <w:rFonts w:ascii="Times New Roman" w:hAnsi="Times New Roman"/>
          <w:sz w:val="22"/>
        </w:rPr>
        <w:lastRenderedPageBreak/>
        <w:t>[</w:t>
      </w:r>
      <w:r>
        <w:rPr>
          <w:rFonts w:ascii="Times New Roman" w:hAnsi="Times New Roman"/>
          <w:sz w:val="22"/>
          <w:highlight w:val="lightGray"/>
        </w:rPr>
        <w:t>Les emballages deviennent la propriété du bénéficiaire, sous réserve de respecter l’environnement</w:t>
      </w:r>
      <w:r>
        <w:rPr>
          <w:rFonts w:ascii="Times New Roman" w:hAnsi="Times New Roman"/>
          <w:sz w:val="22"/>
        </w:rPr>
        <w:t>].</w:t>
      </w:r>
    </w:p>
    <w:p w14:paraId="37672206" w14:textId="74E3DF09" w:rsidR="0047783A" w:rsidRDefault="0049293D" w:rsidP="0049293D">
      <w:pPr>
        <w:ind w:left="1134"/>
        <w:jc w:val="both"/>
        <w:rPr>
          <w:rFonts w:ascii="Times New Roman" w:hAnsi="Times New Roman"/>
          <w:sz w:val="22"/>
          <w:szCs w:val="22"/>
        </w:rPr>
      </w:pPr>
      <w:r>
        <w:rPr>
          <w:rFonts w:ascii="Times New Roman" w:hAnsi="Times New Roman"/>
          <w:sz w:val="22"/>
          <w:highlight w:val="yellow"/>
        </w:rPr>
        <w:t>Ou</w:t>
      </w:r>
      <w:r>
        <w:rPr>
          <w:rFonts w:ascii="Times New Roman" w:hAnsi="Times New Roman"/>
          <w:sz w:val="22"/>
        </w:rPr>
        <w:t xml:space="preserve"> [</w:t>
      </w:r>
      <w:r>
        <w:rPr>
          <w:rFonts w:ascii="Times New Roman" w:hAnsi="Times New Roman"/>
          <w:sz w:val="22"/>
          <w:highlight w:val="lightGray"/>
        </w:rPr>
        <w:t>Les emballages restent la propriété du contractant, sous réserve de respecter l’environnement</w:t>
      </w:r>
      <w:r>
        <w:rPr>
          <w:rFonts w:ascii="Times New Roman" w:hAnsi="Times New Roman"/>
          <w:sz w:val="22"/>
        </w:rPr>
        <w:t>].</w:t>
      </w:r>
    </w:p>
    <w:p w14:paraId="64F05594" w14:textId="4FF66014" w:rsidR="00BD1517" w:rsidRPr="003D6B6C" w:rsidRDefault="00BD1517" w:rsidP="00B5440B">
      <w:pPr>
        <w:ind w:left="1134" w:hanging="708"/>
        <w:jc w:val="both"/>
        <w:rPr>
          <w:rFonts w:ascii="Times New Roman" w:hAnsi="Times New Roman"/>
          <w:b/>
          <w:sz w:val="22"/>
          <w:szCs w:val="22"/>
        </w:rPr>
      </w:pPr>
      <w:r>
        <w:rPr>
          <w:rFonts w:ascii="Times New Roman" w:hAnsi="Times New Roman"/>
          <w:sz w:val="22"/>
        </w:rPr>
        <w:t>29.4</w:t>
      </w:r>
      <w:r>
        <w:rPr>
          <w:rFonts w:ascii="Times New Roman" w:hAnsi="Times New Roman"/>
          <w:sz w:val="22"/>
        </w:rPr>
        <w:tab/>
        <w:t>Le lieu de livraison des fournitures est &lt;</w:t>
      </w:r>
      <w:r>
        <w:rPr>
          <w:rFonts w:ascii="Times New Roman" w:hAnsi="Times New Roman"/>
          <w:sz w:val="22"/>
          <w:highlight w:val="yellow"/>
        </w:rPr>
        <w:t>insérer le lieu</w:t>
      </w:r>
      <w:r>
        <w:rPr>
          <w:rFonts w:ascii="Times New Roman" w:hAnsi="Times New Roman"/>
          <w:sz w:val="22"/>
        </w:rPr>
        <w:t>&gt;.</w:t>
      </w:r>
    </w:p>
    <w:p w14:paraId="0A911D52" w14:textId="77777777" w:rsidR="0047783A" w:rsidRPr="003D6B6C" w:rsidRDefault="0047783A" w:rsidP="006B145B">
      <w:pPr>
        <w:ind w:left="1134" w:hanging="1134"/>
        <w:jc w:val="both"/>
        <w:rPr>
          <w:rFonts w:ascii="Times New Roman" w:hAnsi="Times New Roman"/>
          <w:sz w:val="22"/>
          <w:szCs w:val="22"/>
        </w:rPr>
      </w:pPr>
      <w:r>
        <w:rPr>
          <w:rFonts w:ascii="Times New Roman" w:hAnsi="Times New Roman"/>
          <w:sz w:val="22"/>
        </w:rPr>
        <w:t>29.5, 29.6 et 29.7</w:t>
      </w:r>
      <w:r>
        <w:rPr>
          <w:rFonts w:ascii="Times New Roman" w:hAnsi="Times New Roman"/>
          <w:sz w:val="22"/>
        </w:rPr>
        <w:tab/>
        <w:t>&lt;</w:t>
      </w:r>
      <w:r>
        <w:rPr>
          <w:rFonts w:ascii="Times New Roman" w:hAnsi="Times New Roman"/>
          <w:sz w:val="22"/>
          <w:highlight w:val="yellow"/>
        </w:rPr>
        <w:t>Préciser les exigences concernant les documents devant accompagner chaque livraison et les marquages sur l’emballage</w:t>
      </w:r>
      <w:r>
        <w:rPr>
          <w:rFonts w:ascii="Times New Roman" w:hAnsi="Times New Roman"/>
          <w:sz w:val="22"/>
        </w:rPr>
        <w:t>&gt;</w:t>
      </w:r>
    </w:p>
    <w:p w14:paraId="7C1E7DCB" w14:textId="77777777" w:rsidR="0047783A" w:rsidRPr="003D6B6C" w:rsidRDefault="0047783A" w:rsidP="00B34179">
      <w:pPr>
        <w:spacing w:before="240"/>
        <w:ind w:left="1134" w:hanging="1134"/>
        <w:jc w:val="both"/>
        <w:rPr>
          <w:rFonts w:ascii="Times New Roman" w:hAnsi="Times New Roman"/>
          <w:b/>
          <w:sz w:val="24"/>
          <w:szCs w:val="24"/>
        </w:rPr>
      </w:pPr>
      <w:bookmarkStart w:id="29" w:name="_Toc124934914"/>
      <w:r>
        <w:rPr>
          <w:rFonts w:ascii="Times New Roman" w:hAnsi="Times New Roman"/>
          <w:b/>
          <w:sz w:val="24"/>
        </w:rPr>
        <w:t>Article 31</w:t>
      </w:r>
      <w:r>
        <w:rPr>
          <w:rFonts w:ascii="Times New Roman" w:hAnsi="Times New Roman"/>
          <w:b/>
          <w:sz w:val="24"/>
        </w:rPr>
        <w:tab/>
        <w:t>Réception provisoire</w:t>
      </w:r>
      <w:bookmarkEnd w:id="29"/>
    </w:p>
    <w:p w14:paraId="38CCDEFD" w14:textId="77777777" w:rsidR="0047783A" w:rsidRPr="003D6B6C" w:rsidRDefault="0047783A" w:rsidP="001B55AC">
      <w:pPr>
        <w:jc w:val="both"/>
        <w:rPr>
          <w:rFonts w:ascii="Times New Roman" w:hAnsi="Times New Roman"/>
          <w:sz w:val="22"/>
          <w:szCs w:val="22"/>
        </w:rPr>
      </w:pPr>
      <w:r>
        <w:rPr>
          <w:rFonts w:ascii="Times New Roman" w:hAnsi="Times New Roman"/>
          <w:sz w:val="22"/>
        </w:rPr>
        <w:t>Pour la réception provisoire, il y a lieu d’utiliser le certificat de l’annexe C11. &lt;</w:t>
      </w:r>
      <w:r>
        <w:rPr>
          <w:rFonts w:ascii="Times New Roman" w:hAnsi="Times New Roman"/>
          <w:sz w:val="22"/>
          <w:highlight w:val="yellow"/>
        </w:rPr>
        <w:t>Préciser les modalités de réception provisoire</w:t>
      </w:r>
      <w:r>
        <w:rPr>
          <w:rFonts w:ascii="Times New Roman" w:hAnsi="Times New Roman"/>
          <w:sz w:val="22"/>
        </w:rPr>
        <w:t>&gt;</w:t>
      </w:r>
    </w:p>
    <w:p w14:paraId="26936EB2" w14:textId="77777777" w:rsidR="00724C93" w:rsidRPr="003D6B6C" w:rsidRDefault="00724C93" w:rsidP="00724C93">
      <w:pPr>
        <w:autoSpaceDE w:val="0"/>
        <w:autoSpaceDN w:val="0"/>
        <w:adjustRightInd w:val="0"/>
        <w:spacing w:before="0" w:after="0"/>
        <w:rPr>
          <w:rFonts w:ascii="Times New Roman" w:hAnsi="Times New Roman"/>
          <w:sz w:val="22"/>
          <w:szCs w:val="22"/>
        </w:rPr>
      </w:pPr>
      <w:r>
        <w:rPr>
          <w:rFonts w:ascii="Times New Roman" w:hAnsi="Times New Roman"/>
          <w:sz w:val="22"/>
        </w:rPr>
        <w:t>[</w:t>
      </w:r>
      <w:r>
        <w:rPr>
          <w:rFonts w:ascii="Times New Roman" w:hAnsi="Times New Roman"/>
          <w:sz w:val="22"/>
          <w:highlight w:val="yellow"/>
        </w:rPr>
        <w:t>Marché en gestion décentralisée/indirecte financé par le budget général de l’Union et pour lequel une convention de financement a été signée avant le 1</w:t>
      </w:r>
      <w:r>
        <w:rPr>
          <w:rFonts w:ascii="Times New Roman" w:hAnsi="Times New Roman"/>
          <w:sz w:val="22"/>
          <w:highlight w:val="yellow"/>
          <w:vertAlign w:val="superscript"/>
        </w:rPr>
        <w:t>er</w:t>
      </w:r>
      <w:r>
        <w:rPr>
          <w:rFonts w:ascii="Times New Roman" w:hAnsi="Times New Roman"/>
          <w:sz w:val="22"/>
          <w:highlight w:val="yellow"/>
        </w:rPr>
        <w:t xml:space="preserve"> janvier 2013 </w:t>
      </w:r>
      <w:proofErr w:type="gramStart"/>
      <w:r>
        <w:rPr>
          <w:rFonts w:ascii="Times New Roman" w:hAnsi="Times New Roman"/>
          <w:sz w:val="22"/>
          <w:highlight w:val="yellow"/>
        </w:rPr>
        <w:t>uniquement:</w:t>
      </w:r>
      <w:proofErr w:type="gramEnd"/>
      <w:r>
        <w:rPr>
          <w:rFonts w:ascii="Times New Roman" w:hAnsi="Times New Roman"/>
          <w:sz w:val="22"/>
        </w:rPr>
        <w:t xml:space="preserve"> </w:t>
      </w:r>
    </w:p>
    <w:p w14:paraId="010A73E4" w14:textId="77777777" w:rsidR="00E219CD" w:rsidRPr="00F017DE" w:rsidRDefault="0011156A" w:rsidP="00E219CD">
      <w:pPr>
        <w:ind w:left="1134" w:hanging="708"/>
        <w:jc w:val="both"/>
        <w:rPr>
          <w:rFonts w:ascii="Times New Roman" w:hAnsi="Times New Roman"/>
          <w:sz w:val="22"/>
          <w:szCs w:val="22"/>
          <w:highlight w:val="lightGray"/>
        </w:rPr>
      </w:pPr>
      <w:r>
        <w:rPr>
          <w:rFonts w:ascii="Times New Roman" w:hAnsi="Times New Roman"/>
          <w:sz w:val="22"/>
        </w:rPr>
        <w:t>31.2.</w:t>
      </w:r>
      <w:r>
        <w:rPr>
          <w:rFonts w:ascii="Times New Roman" w:hAnsi="Times New Roman"/>
          <w:sz w:val="22"/>
        </w:rPr>
        <w:tab/>
      </w:r>
      <w:r>
        <w:rPr>
          <w:rFonts w:ascii="Times New Roman" w:hAnsi="Times New Roman"/>
          <w:sz w:val="22"/>
          <w:highlight w:val="lightGray"/>
        </w:rPr>
        <w:t xml:space="preserve">Par dérogation, le contractant peut demander, par notification adressée au gestionnaire du projet, l’établissement d’un certificat de réception provisoire lorsque les fournitures sont prêtes pour la réception provisoire. Dans un délai de 45 jours à compter de la réception de la demande du contractant, le gestionnaire du </w:t>
      </w:r>
      <w:proofErr w:type="gramStart"/>
      <w:r>
        <w:rPr>
          <w:rFonts w:ascii="Times New Roman" w:hAnsi="Times New Roman"/>
          <w:sz w:val="22"/>
          <w:highlight w:val="lightGray"/>
        </w:rPr>
        <w:t>projet:</w:t>
      </w:r>
      <w:proofErr w:type="gramEnd"/>
    </w:p>
    <w:p w14:paraId="090CA169" w14:textId="77777777" w:rsidR="00E219CD" w:rsidRPr="00F017DE" w:rsidRDefault="00E219CD" w:rsidP="00E219CD">
      <w:pPr>
        <w:widowControl w:val="0"/>
        <w:numPr>
          <w:ilvl w:val="0"/>
          <w:numId w:val="19"/>
        </w:numPr>
        <w:tabs>
          <w:tab w:val="left" w:pos="1560"/>
        </w:tabs>
        <w:spacing w:before="0" w:after="0"/>
        <w:ind w:left="1560"/>
        <w:jc w:val="both"/>
        <w:rPr>
          <w:rFonts w:ascii="Times New Roman" w:hAnsi="Times New Roman"/>
          <w:sz w:val="22"/>
          <w:szCs w:val="22"/>
          <w:highlight w:val="lightGray"/>
        </w:rPr>
      </w:pPr>
      <w:proofErr w:type="gramStart"/>
      <w:r>
        <w:rPr>
          <w:rFonts w:ascii="Times New Roman" w:hAnsi="Times New Roman"/>
          <w:sz w:val="22"/>
          <w:highlight w:val="lightGray"/>
        </w:rPr>
        <w:t>établit</w:t>
      </w:r>
      <w:proofErr w:type="gramEnd"/>
      <w:r>
        <w:rPr>
          <w:rFonts w:ascii="Times New Roman" w:hAnsi="Times New Roman"/>
          <w:sz w:val="22"/>
          <w:highlight w:val="lightGray"/>
        </w:rPr>
        <w:t xml:space="preserve"> le certificat de réception provisoire à l’intention du contractant, avec copie au pouvoir adjudicateur, en indiquant, le cas échéant, ses réserves et notamment la date à laquelle, à son avis, les fournitures ont été achevées conformément au marché et étaient prêtes pour la réception provisoire; ou</w:t>
      </w:r>
    </w:p>
    <w:p w14:paraId="4498F9BC" w14:textId="77777777" w:rsidR="00E219CD" w:rsidRPr="00F017DE" w:rsidRDefault="00E219CD" w:rsidP="00E219CD">
      <w:pPr>
        <w:widowControl w:val="0"/>
        <w:numPr>
          <w:ilvl w:val="0"/>
          <w:numId w:val="19"/>
        </w:numPr>
        <w:tabs>
          <w:tab w:val="left" w:pos="1560"/>
        </w:tabs>
        <w:ind w:left="1560"/>
        <w:jc w:val="both"/>
        <w:rPr>
          <w:rFonts w:ascii="Times New Roman" w:hAnsi="Times New Roman"/>
          <w:sz w:val="22"/>
          <w:szCs w:val="22"/>
          <w:highlight w:val="lightGray"/>
        </w:rPr>
      </w:pPr>
      <w:proofErr w:type="gramStart"/>
      <w:r>
        <w:rPr>
          <w:rFonts w:ascii="Times New Roman" w:hAnsi="Times New Roman"/>
          <w:sz w:val="22"/>
          <w:highlight w:val="lightGray"/>
        </w:rPr>
        <w:t>rejette</w:t>
      </w:r>
      <w:proofErr w:type="gramEnd"/>
      <w:r>
        <w:rPr>
          <w:rFonts w:ascii="Times New Roman" w:hAnsi="Times New Roman"/>
          <w:sz w:val="22"/>
          <w:highlight w:val="lightGray"/>
        </w:rPr>
        <w:t xml:space="preserve"> la demande en motivant sa décision et en spécifiant les mesures, qui, à son avis, doivent être prises par le contractant en vue de la délivrance du certificat.</w:t>
      </w:r>
    </w:p>
    <w:p w14:paraId="3BB1764E" w14:textId="77777777" w:rsidR="00240B1F" w:rsidRPr="003D6B6C" w:rsidRDefault="00240B1F" w:rsidP="00D82847">
      <w:pPr>
        <w:widowControl w:val="0"/>
        <w:tabs>
          <w:tab w:val="left" w:pos="1560"/>
        </w:tabs>
        <w:ind w:left="1200"/>
        <w:jc w:val="both"/>
        <w:rPr>
          <w:rFonts w:ascii="Times New Roman" w:hAnsi="Times New Roman"/>
          <w:sz w:val="22"/>
          <w:szCs w:val="22"/>
        </w:rPr>
      </w:pPr>
      <w:r>
        <w:rPr>
          <w:rFonts w:ascii="Times New Roman" w:hAnsi="Times New Roman"/>
          <w:sz w:val="22"/>
          <w:highlight w:val="lightGray"/>
        </w:rPr>
        <w:t>Le délai de délivrance du certificat de réception provisoire par le pouvoir adjudicateur au contractant n’est pas réputé inclus dans le délai de paiement indiqué à l’article 26, paragraphe 3.</w:t>
      </w:r>
      <w:proofErr w:type="gramStart"/>
      <w:r>
        <w:rPr>
          <w:rFonts w:ascii="Times New Roman" w:hAnsi="Times New Roman"/>
          <w:sz w:val="22"/>
          <w:highlight w:val="lightGray"/>
        </w:rPr>
        <w:t>]</w:t>
      </w:r>
      <w:r>
        <w:rPr>
          <w:rFonts w:ascii="Times New Roman" w:hAnsi="Times New Roman"/>
          <w:sz w:val="22"/>
        </w:rPr>
        <w:t xml:space="preserve"> ]</w:t>
      </w:r>
      <w:proofErr w:type="gramEnd"/>
    </w:p>
    <w:p w14:paraId="221457C5" w14:textId="77777777" w:rsidR="007F5DDE" w:rsidRPr="003D6B6C" w:rsidRDefault="00554164" w:rsidP="0011156A">
      <w:pPr>
        <w:autoSpaceDE w:val="0"/>
        <w:autoSpaceDN w:val="0"/>
        <w:adjustRightInd w:val="0"/>
        <w:spacing w:before="0"/>
        <w:rPr>
          <w:rFonts w:ascii="Times New Roman" w:hAnsi="Times New Roman"/>
          <w:sz w:val="22"/>
          <w:szCs w:val="22"/>
        </w:rPr>
      </w:pPr>
      <w:r>
        <w:rPr>
          <w:rFonts w:ascii="Times New Roman" w:hAnsi="Times New Roman"/>
          <w:sz w:val="22"/>
        </w:rPr>
        <w:t>[</w:t>
      </w:r>
      <w:r>
        <w:rPr>
          <w:rFonts w:ascii="Times New Roman" w:hAnsi="Times New Roman"/>
          <w:sz w:val="22"/>
          <w:highlight w:val="yellow"/>
        </w:rPr>
        <w:t xml:space="preserve">Marché financé par le FED </w:t>
      </w:r>
      <w:proofErr w:type="gramStart"/>
      <w:r>
        <w:rPr>
          <w:rFonts w:ascii="Times New Roman" w:hAnsi="Times New Roman"/>
          <w:sz w:val="22"/>
          <w:highlight w:val="yellow"/>
        </w:rPr>
        <w:t>uniquement:</w:t>
      </w:r>
      <w:proofErr w:type="gramEnd"/>
      <w:r>
        <w:rPr>
          <w:rFonts w:ascii="Times New Roman" w:hAnsi="Times New Roman"/>
          <w:sz w:val="22"/>
        </w:rPr>
        <w:t xml:space="preserve"> </w:t>
      </w:r>
    </w:p>
    <w:p w14:paraId="0177D459" w14:textId="19DDF584" w:rsidR="00554164" w:rsidRPr="003D6B6C" w:rsidRDefault="007F5DDE" w:rsidP="00D82847">
      <w:pPr>
        <w:autoSpaceDE w:val="0"/>
        <w:autoSpaceDN w:val="0"/>
        <w:adjustRightInd w:val="0"/>
        <w:spacing w:before="0" w:after="0"/>
        <w:ind w:left="1200"/>
        <w:rPr>
          <w:rFonts w:ascii="Times New Roman" w:hAnsi="Times New Roman"/>
          <w:sz w:val="22"/>
          <w:szCs w:val="22"/>
        </w:rPr>
      </w:pPr>
      <w:r>
        <w:rPr>
          <w:rFonts w:ascii="Times New Roman" w:hAnsi="Times New Roman"/>
          <w:sz w:val="22"/>
          <w:highlight w:val="lightGray"/>
        </w:rPr>
        <w:t>Par dérogation à l’article 31, paragraphe 2, deuxième alinéa, le délai de délivrance du certificat de réception provisoire par le pouvoir adjudicateur au contractant n’est pas réputé inclus dans le délai de paiement indiqué à l’article 26, paragraphe 3.</w:t>
      </w:r>
      <w:proofErr w:type="gramStart"/>
      <w:r>
        <w:rPr>
          <w:rFonts w:ascii="Times New Roman" w:hAnsi="Times New Roman"/>
          <w:sz w:val="22"/>
          <w:highlight w:val="lightGray"/>
        </w:rPr>
        <w:t>]</w:t>
      </w:r>
      <w:r>
        <w:rPr>
          <w:rFonts w:ascii="Times New Roman" w:hAnsi="Times New Roman"/>
          <w:sz w:val="22"/>
        </w:rPr>
        <w:t xml:space="preserve"> ]</w:t>
      </w:r>
      <w:proofErr w:type="gramEnd"/>
    </w:p>
    <w:p w14:paraId="6D19FB26" w14:textId="77777777" w:rsidR="0047783A" w:rsidRPr="003D6B6C" w:rsidRDefault="0047783A" w:rsidP="00B34179">
      <w:pPr>
        <w:spacing w:before="240"/>
        <w:ind w:left="1134" w:hanging="1134"/>
        <w:jc w:val="both"/>
        <w:rPr>
          <w:rFonts w:ascii="Times New Roman" w:hAnsi="Times New Roman"/>
          <w:b/>
          <w:sz w:val="24"/>
          <w:szCs w:val="24"/>
        </w:rPr>
      </w:pPr>
      <w:bookmarkStart w:id="30" w:name="_Toc124934915"/>
      <w:r>
        <w:rPr>
          <w:rFonts w:ascii="Times New Roman" w:hAnsi="Times New Roman"/>
          <w:b/>
          <w:sz w:val="24"/>
        </w:rPr>
        <w:t>Article 32</w:t>
      </w:r>
      <w:r>
        <w:rPr>
          <w:rFonts w:ascii="Times New Roman" w:hAnsi="Times New Roman"/>
          <w:b/>
          <w:sz w:val="24"/>
        </w:rPr>
        <w:tab/>
        <w:t>Obligations</w:t>
      </w:r>
      <w:bookmarkEnd w:id="30"/>
      <w:r>
        <w:rPr>
          <w:rFonts w:ascii="Times New Roman" w:hAnsi="Times New Roman"/>
          <w:b/>
          <w:sz w:val="24"/>
        </w:rPr>
        <w:t xml:space="preserve"> au titre de la garantie du produit</w:t>
      </w:r>
    </w:p>
    <w:p w14:paraId="18C4D014" w14:textId="77777777" w:rsidR="0047783A" w:rsidRPr="003D6B6C" w:rsidRDefault="00177A94" w:rsidP="006B145B">
      <w:pPr>
        <w:ind w:left="1134" w:hanging="708"/>
        <w:jc w:val="both"/>
        <w:rPr>
          <w:rFonts w:ascii="Times New Roman" w:hAnsi="Times New Roman"/>
          <w:sz w:val="22"/>
          <w:szCs w:val="22"/>
        </w:rPr>
      </w:pPr>
      <w:r>
        <w:rPr>
          <w:rFonts w:ascii="Times New Roman" w:hAnsi="Times New Roman"/>
          <w:sz w:val="22"/>
        </w:rPr>
        <w:t>32.6</w:t>
      </w:r>
      <w:r>
        <w:rPr>
          <w:rFonts w:ascii="Times New Roman" w:hAnsi="Times New Roman"/>
          <w:sz w:val="22"/>
        </w:rPr>
        <w:tab/>
        <w:t>&lt;</w:t>
      </w:r>
      <w:r>
        <w:rPr>
          <w:rFonts w:ascii="Times New Roman" w:hAnsi="Times New Roman"/>
          <w:sz w:val="22"/>
          <w:highlight w:val="yellow"/>
        </w:rPr>
        <w:t>Préciser toute obligation supplémentaire au titre de la garantie, par exemple, la garantie commerciale.</w:t>
      </w:r>
      <w:r>
        <w:rPr>
          <w:rFonts w:ascii="Times New Roman" w:hAnsi="Times New Roman"/>
          <w:sz w:val="22"/>
        </w:rPr>
        <w:t>&gt;</w:t>
      </w:r>
    </w:p>
    <w:p w14:paraId="516F443D" w14:textId="77777777" w:rsidR="00DF7EE0" w:rsidRPr="003D6B6C" w:rsidRDefault="00DF7EE0" w:rsidP="006B145B">
      <w:pPr>
        <w:ind w:left="1134" w:hanging="708"/>
        <w:jc w:val="both"/>
        <w:rPr>
          <w:rFonts w:ascii="Times New Roman" w:hAnsi="Times New Roman"/>
          <w:sz w:val="22"/>
          <w:szCs w:val="22"/>
        </w:rPr>
      </w:pPr>
      <w:r>
        <w:rPr>
          <w:rFonts w:ascii="Times New Roman" w:hAnsi="Times New Roman"/>
          <w:sz w:val="22"/>
        </w:rPr>
        <w:t>32.7</w:t>
      </w:r>
      <w:r>
        <w:rPr>
          <w:rFonts w:ascii="Times New Roman" w:hAnsi="Times New Roman"/>
          <w:sz w:val="22"/>
        </w:rPr>
        <w:tab/>
        <w:t>Cette garantie demeure valable pendant &lt;</w:t>
      </w:r>
      <w:r>
        <w:rPr>
          <w:rFonts w:ascii="Times New Roman" w:hAnsi="Times New Roman"/>
          <w:sz w:val="22"/>
          <w:highlight w:val="yellow"/>
        </w:rPr>
        <w:t>période à spécifier, maximum une année</w:t>
      </w:r>
      <w:r>
        <w:rPr>
          <w:rFonts w:ascii="Times New Roman" w:hAnsi="Times New Roman"/>
          <w:sz w:val="22"/>
        </w:rPr>
        <w:t>&gt; à compter de la réception provisoire.</w:t>
      </w:r>
    </w:p>
    <w:p w14:paraId="3499C21C" w14:textId="77777777" w:rsidR="0047783A" w:rsidRPr="003D6B6C" w:rsidRDefault="0047783A" w:rsidP="00B34179">
      <w:pPr>
        <w:spacing w:before="240"/>
        <w:ind w:left="1134" w:hanging="1134"/>
        <w:jc w:val="both"/>
        <w:rPr>
          <w:rFonts w:ascii="Times New Roman" w:hAnsi="Times New Roman"/>
          <w:b/>
          <w:sz w:val="24"/>
          <w:szCs w:val="24"/>
        </w:rPr>
      </w:pPr>
      <w:bookmarkStart w:id="31" w:name="_Toc119839451"/>
      <w:bookmarkStart w:id="32" w:name="_Toc124934916"/>
      <w:r>
        <w:rPr>
          <w:rFonts w:ascii="Times New Roman" w:hAnsi="Times New Roman"/>
          <w:b/>
          <w:sz w:val="24"/>
        </w:rPr>
        <w:t>Article 33</w:t>
      </w:r>
      <w:r>
        <w:rPr>
          <w:rFonts w:ascii="Times New Roman" w:hAnsi="Times New Roman"/>
          <w:b/>
          <w:sz w:val="24"/>
        </w:rPr>
        <w:tab/>
        <w:t>Service après-vente</w:t>
      </w:r>
      <w:bookmarkEnd w:id="31"/>
      <w:bookmarkEnd w:id="32"/>
    </w:p>
    <w:p w14:paraId="09B87FDF" w14:textId="77777777" w:rsidR="0047783A" w:rsidRPr="003D6B6C" w:rsidRDefault="00177A94" w:rsidP="006B145B">
      <w:pPr>
        <w:ind w:left="1134" w:hanging="708"/>
        <w:jc w:val="both"/>
        <w:rPr>
          <w:rFonts w:ascii="Times New Roman" w:hAnsi="Times New Roman"/>
          <w:sz w:val="22"/>
          <w:szCs w:val="22"/>
        </w:rPr>
      </w:pPr>
      <w:r>
        <w:rPr>
          <w:rFonts w:ascii="Times New Roman" w:hAnsi="Times New Roman"/>
          <w:sz w:val="22"/>
        </w:rPr>
        <w:t>33.1</w:t>
      </w:r>
      <w:r>
        <w:rPr>
          <w:rFonts w:ascii="Times New Roman" w:hAnsi="Times New Roman"/>
          <w:sz w:val="22"/>
        </w:rPr>
        <w:tab/>
        <w:t>&lt;</w:t>
      </w:r>
      <w:r>
        <w:rPr>
          <w:rFonts w:ascii="Times New Roman" w:hAnsi="Times New Roman"/>
          <w:sz w:val="22"/>
          <w:highlight w:val="yellow"/>
        </w:rPr>
        <w:t>Indiquer les coordonnées du service après-vente que le contractant doit fournir et préciser la proportion de la garantie de bonne exécution attribuée à cette activité</w:t>
      </w:r>
      <w:r>
        <w:rPr>
          <w:rFonts w:ascii="Times New Roman" w:hAnsi="Times New Roman"/>
          <w:sz w:val="22"/>
        </w:rPr>
        <w:t>&gt;</w:t>
      </w:r>
    </w:p>
    <w:p w14:paraId="060E3D5F" w14:textId="77777777" w:rsidR="0047783A" w:rsidRPr="003D6B6C" w:rsidRDefault="0047783A" w:rsidP="00B34179">
      <w:pPr>
        <w:spacing w:before="240"/>
        <w:ind w:left="1134" w:hanging="1134"/>
        <w:jc w:val="both"/>
        <w:rPr>
          <w:rFonts w:ascii="Times New Roman" w:hAnsi="Times New Roman"/>
          <w:b/>
          <w:sz w:val="24"/>
          <w:szCs w:val="24"/>
        </w:rPr>
      </w:pPr>
      <w:bookmarkStart w:id="33" w:name="_Toc124934917"/>
      <w:r>
        <w:rPr>
          <w:rFonts w:ascii="Times New Roman" w:hAnsi="Times New Roman"/>
          <w:b/>
          <w:sz w:val="24"/>
        </w:rPr>
        <w:t>Article 40</w:t>
      </w:r>
      <w:r>
        <w:rPr>
          <w:rFonts w:ascii="Times New Roman" w:hAnsi="Times New Roman"/>
          <w:b/>
          <w:sz w:val="24"/>
        </w:rPr>
        <w:tab/>
        <w:t>Règlement des différends</w:t>
      </w:r>
      <w:bookmarkEnd w:id="33"/>
    </w:p>
    <w:p w14:paraId="6B551131" w14:textId="77777777" w:rsidR="0047783A" w:rsidRPr="003D6B6C" w:rsidRDefault="0047783A" w:rsidP="00C73F87">
      <w:pPr>
        <w:ind w:left="1134"/>
        <w:rPr>
          <w:rFonts w:ascii="Times New Roman" w:hAnsi="Times New Roman"/>
          <w:sz w:val="22"/>
          <w:szCs w:val="22"/>
        </w:rPr>
      </w:pPr>
      <w:r>
        <w:rPr>
          <w:rFonts w:ascii="Times New Roman" w:hAnsi="Times New Roman"/>
          <w:sz w:val="22"/>
          <w:highlight w:val="yellow"/>
        </w:rPr>
        <w:lastRenderedPageBreak/>
        <w:t xml:space="preserve">En gestion </w:t>
      </w:r>
      <w:proofErr w:type="gramStart"/>
      <w:r>
        <w:rPr>
          <w:rFonts w:ascii="Times New Roman" w:hAnsi="Times New Roman"/>
          <w:sz w:val="22"/>
          <w:highlight w:val="yellow"/>
        </w:rPr>
        <w:t>directe:</w:t>
      </w:r>
      <w:proofErr w:type="gramEnd"/>
    </w:p>
    <w:p w14:paraId="39818108" w14:textId="77777777" w:rsidR="0047783A" w:rsidRPr="003D6B6C" w:rsidRDefault="0047783A" w:rsidP="001B55AC">
      <w:pPr>
        <w:spacing w:before="0"/>
        <w:ind w:left="1134" w:hanging="708"/>
        <w:jc w:val="both"/>
        <w:rPr>
          <w:rFonts w:ascii="Times New Roman" w:hAnsi="Times New Roman"/>
          <w:sz w:val="22"/>
          <w:szCs w:val="22"/>
        </w:rPr>
      </w:pPr>
      <w:r>
        <w:rPr>
          <w:rFonts w:ascii="Times New Roman" w:hAnsi="Times New Roman"/>
          <w:sz w:val="22"/>
        </w:rPr>
        <w:t>40.4</w:t>
      </w:r>
      <w:r>
        <w:rPr>
          <w:rFonts w:ascii="Times New Roman" w:hAnsi="Times New Roman"/>
          <w:sz w:val="22"/>
        </w:rPr>
        <w:tab/>
        <w:t>[</w:t>
      </w:r>
      <w:r>
        <w:rPr>
          <w:rFonts w:ascii="Times New Roman" w:hAnsi="Times New Roman"/>
          <w:sz w:val="22"/>
          <w:highlight w:val="lightGray"/>
        </w:rPr>
        <w:t>Tout différend survenant dans l’exécution du présent marché et qui ne peut être réglé à l’amiable est de la compétence exclusive des tribunaux de Bruxelles (Belgique).</w:t>
      </w:r>
      <w:r>
        <w:rPr>
          <w:rFonts w:ascii="Times New Roman" w:hAnsi="Times New Roman"/>
          <w:sz w:val="22"/>
        </w:rPr>
        <w:t>]</w:t>
      </w:r>
    </w:p>
    <w:p w14:paraId="383FF00A" w14:textId="04E80DC2" w:rsidR="0047783A" w:rsidRDefault="0047783A" w:rsidP="001B55AC">
      <w:pPr>
        <w:spacing w:before="0"/>
        <w:ind w:left="1134"/>
        <w:jc w:val="both"/>
        <w:rPr>
          <w:rFonts w:ascii="Times New Roman" w:hAnsi="Times New Roman"/>
          <w:sz w:val="22"/>
          <w:szCs w:val="22"/>
          <w:highlight w:val="yellow"/>
        </w:rPr>
      </w:pPr>
      <w:r>
        <w:rPr>
          <w:rFonts w:ascii="Times New Roman" w:hAnsi="Times New Roman"/>
          <w:sz w:val="22"/>
          <w:highlight w:val="yellow"/>
        </w:rPr>
        <w:t xml:space="preserve">En gestion </w:t>
      </w:r>
      <w:proofErr w:type="gramStart"/>
      <w:r>
        <w:rPr>
          <w:rFonts w:ascii="Times New Roman" w:hAnsi="Times New Roman"/>
          <w:sz w:val="22"/>
          <w:highlight w:val="yellow"/>
        </w:rPr>
        <w:t>indirecte:</w:t>
      </w:r>
      <w:proofErr w:type="gramEnd"/>
    </w:p>
    <w:p w14:paraId="52E10621" w14:textId="77777777" w:rsidR="00C01E30" w:rsidRPr="00B5440B" w:rsidRDefault="00C01E30" w:rsidP="00B5440B">
      <w:pPr>
        <w:spacing w:before="0"/>
        <w:ind w:left="556" w:firstLine="720"/>
        <w:rPr>
          <w:rFonts w:ascii="Times New Roman" w:hAnsi="Times New Roman"/>
          <w:sz w:val="22"/>
          <w:szCs w:val="22"/>
        </w:rPr>
      </w:pPr>
      <w:r>
        <w:rPr>
          <w:rFonts w:ascii="Times New Roman" w:hAnsi="Times New Roman"/>
          <w:sz w:val="22"/>
          <w:highlight w:val="yellow"/>
        </w:rPr>
        <w:t>[Uniquement pour les marchés financés par des instruments postérieurs à 2021 (IVCDCI, IAP III, etc.</w:t>
      </w:r>
      <w:proofErr w:type="gramStart"/>
      <w:r>
        <w:rPr>
          <w:rFonts w:ascii="Times New Roman" w:hAnsi="Times New Roman"/>
          <w:sz w:val="22"/>
          <w:highlight w:val="yellow"/>
        </w:rPr>
        <w:t>):</w:t>
      </w:r>
      <w:proofErr w:type="gramEnd"/>
    </w:p>
    <w:p w14:paraId="460E8717" w14:textId="77777777" w:rsidR="00C01E30" w:rsidRPr="00B5440B" w:rsidRDefault="00C01E30" w:rsidP="00B5440B">
      <w:pPr>
        <w:autoSpaceDE w:val="0"/>
        <w:autoSpaceDN w:val="0"/>
        <w:adjustRightInd w:val="0"/>
        <w:spacing w:before="0"/>
        <w:ind w:left="1276"/>
        <w:rPr>
          <w:rFonts w:ascii="Times New Roman" w:hAnsi="Times New Roman"/>
          <w:sz w:val="22"/>
          <w:szCs w:val="22"/>
        </w:rPr>
      </w:pPr>
      <w:r>
        <w:rPr>
          <w:rFonts w:ascii="Times New Roman" w:hAnsi="Times New Roman"/>
          <w:sz w:val="22"/>
          <w:highlight w:val="yellow"/>
        </w:rPr>
        <w:t>[IAP </w:t>
      </w:r>
      <w:proofErr w:type="gramStart"/>
      <w:r>
        <w:rPr>
          <w:rFonts w:ascii="Times New Roman" w:hAnsi="Times New Roman"/>
          <w:sz w:val="22"/>
          <w:highlight w:val="yellow"/>
        </w:rPr>
        <w:t>III:</w:t>
      </w:r>
      <w:proofErr w:type="gramEnd"/>
    </w:p>
    <w:p w14:paraId="36614763" w14:textId="77777777" w:rsidR="00C01E30" w:rsidRPr="00B5440B" w:rsidRDefault="00C01E30" w:rsidP="00B5440B">
      <w:pPr>
        <w:autoSpaceDE w:val="0"/>
        <w:autoSpaceDN w:val="0"/>
        <w:adjustRightInd w:val="0"/>
        <w:spacing w:before="0"/>
        <w:ind w:left="1276"/>
        <w:rPr>
          <w:rFonts w:ascii="Times New Roman" w:hAnsi="Times New Roman"/>
          <w:sz w:val="22"/>
          <w:szCs w:val="22"/>
        </w:rPr>
      </w:pPr>
      <w:r>
        <w:rPr>
          <w:rFonts w:ascii="Times New Roman" w:hAnsi="Times New Roman"/>
          <w:sz w:val="22"/>
          <w:highlight w:val="yellow"/>
        </w:rPr>
        <w:t>SOIT</w:t>
      </w:r>
    </w:p>
    <w:p w14:paraId="4CFC6620" w14:textId="77777777" w:rsidR="00C01E30" w:rsidRPr="00B5440B" w:rsidRDefault="00C01E30" w:rsidP="00B5440B">
      <w:pPr>
        <w:autoSpaceDE w:val="0"/>
        <w:autoSpaceDN w:val="0"/>
        <w:adjustRightInd w:val="0"/>
        <w:spacing w:before="0"/>
        <w:ind w:left="1276"/>
        <w:jc w:val="both"/>
        <w:rPr>
          <w:rFonts w:ascii="Times New Roman" w:hAnsi="Times New Roman"/>
          <w:sz w:val="22"/>
          <w:szCs w:val="22"/>
        </w:rPr>
      </w:pPr>
      <w:r>
        <w:rPr>
          <w:rFonts w:ascii="Times New Roman" w:hAnsi="Times New Roman"/>
          <w:sz w:val="22"/>
          <w:highlight w:val="lightGray"/>
        </w:rPr>
        <w:t>Tout litige entre les parties résultant du marché ou ayant un lien avec le marché, qui ne peut être réglé autrement, est de la compétence exclusive des tribunaux de</w:t>
      </w:r>
      <w:r>
        <w:rPr>
          <w:rFonts w:ascii="Times New Roman" w:hAnsi="Times New Roman"/>
          <w:sz w:val="22"/>
        </w:rPr>
        <w:t xml:space="preserve"> &lt;</w:t>
      </w:r>
      <w:r>
        <w:rPr>
          <w:rFonts w:ascii="Times New Roman" w:hAnsi="Times New Roman"/>
          <w:sz w:val="22"/>
          <w:highlight w:val="yellow"/>
        </w:rPr>
        <w:t>préciser le pays du pouvoir adjudicateur</w:t>
      </w:r>
      <w:r>
        <w:rPr>
          <w:rFonts w:ascii="Times New Roman" w:hAnsi="Times New Roman"/>
          <w:sz w:val="22"/>
        </w:rPr>
        <w:t xml:space="preserve">&gt; </w:t>
      </w:r>
      <w:r>
        <w:rPr>
          <w:rFonts w:ascii="Times New Roman" w:hAnsi="Times New Roman"/>
          <w:sz w:val="22"/>
          <w:highlight w:val="lightGray"/>
        </w:rPr>
        <w:t>conformément à sa législation nationale</w:t>
      </w:r>
      <w:r>
        <w:rPr>
          <w:rFonts w:ascii="Times New Roman" w:hAnsi="Times New Roman"/>
          <w:sz w:val="22"/>
        </w:rPr>
        <w:t>.</w:t>
      </w:r>
    </w:p>
    <w:p w14:paraId="09E6A635" w14:textId="77777777" w:rsidR="00C01E30" w:rsidRPr="00B5440B" w:rsidRDefault="00C01E30" w:rsidP="00B5440B">
      <w:pPr>
        <w:autoSpaceDE w:val="0"/>
        <w:autoSpaceDN w:val="0"/>
        <w:adjustRightInd w:val="0"/>
        <w:spacing w:before="0"/>
        <w:ind w:left="1276"/>
        <w:rPr>
          <w:rFonts w:ascii="Times New Roman" w:hAnsi="Times New Roman"/>
          <w:sz w:val="22"/>
          <w:szCs w:val="22"/>
        </w:rPr>
      </w:pPr>
      <w:r>
        <w:rPr>
          <w:rFonts w:ascii="Times New Roman" w:hAnsi="Times New Roman"/>
          <w:sz w:val="22"/>
          <w:highlight w:val="yellow"/>
        </w:rPr>
        <w:t>SOIT</w:t>
      </w:r>
    </w:p>
    <w:p w14:paraId="7082E4CA" w14:textId="77777777" w:rsidR="00C01E30" w:rsidRPr="00B5440B" w:rsidRDefault="00C01E30" w:rsidP="00B5440B">
      <w:pPr>
        <w:autoSpaceDE w:val="0"/>
        <w:autoSpaceDN w:val="0"/>
        <w:adjustRightInd w:val="0"/>
        <w:spacing w:before="0"/>
        <w:ind w:left="1276"/>
        <w:jc w:val="both"/>
        <w:rPr>
          <w:rFonts w:ascii="Times New Roman" w:hAnsi="Times New Roman"/>
          <w:sz w:val="22"/>
          <w:szCs w:val="22"/>
          <w:highlight w:val="lightGray"/>
        </w:rPr>
      </w:pPr>
      <w:r>
        <w:rPr>
          <w:rFonts w:ascii="Times New Roman" w:hAnsi="Times New Roman"/>
          <w:sz w:val="22"/>
          <w:highlight w:val="lightGray"/>
        </w:rPr>
        <w:t xml:space="preserve">Tout litige entre les parties résultant du marché ou ayant un lien avec le marché, qui ne peut être réglé autrement, sera soumis à l’arbitrage de </w:t>
      </w:r>
      <w:r>
        <w:rPr>
          <w:rFonts w:ascii="Times New Roman" w:hAnsi="Times New Roman"/>
          <w:sz w:val="22"/>
          <w:highlight w:val="yellow"/>
        </w:rPr>
        <w:t>&lt;préciser l’organe d’arbitrage du pays du pouvoir adjudicateur</w:t>
      </w:r>
      <w:r>
        <w:rPr>
          <w:rFonts w:ascii="Times New Roman" w:hAnsi="Times New Roman"/>
          <w:sz w:val="22"/>
          <w:highlight w:val="lightGray"/>
        </w:rPr>
        <w:t xml:space="preserve">&gt; conformément à ses règles d’arbitrage. </w:t>
      </w:r>
    </w:p>
    <w:p w14:paraId="689019A8" w14:textId="77777777" w:rsidR="00C01E30" w:rsidRPr="00B5440B" w:rsidRDefault="00C01E30" w:rsidP="00B5440B">
      <w:pPr>
        <w:autoSpaceDE w:val="0"/>
        <w:autoSpaceDN w:val="0"/>
        <w:adjustRightInd w:val="0"/>
        <w:spacing w:before="0"/>
        <w:ind w:left="1276"/>
        <w:jc w:val="both"/>
        <w:rPr>
          <w:rFonts w:ascii="Times New Roman" w:hAnsi="Times New Roman"/>
          <w:sz w:val="22"/>
          <w:szCs w:val="22"/>
          <w:highlight w:val="yellow"/>
        </w:rPr>
      </w:pPr>
      <w:r>
        <w:rPr>
          <w:rFonts w:ascii="Times New Roman" w:hAnsi="Times New Roman"/>
          <w:sz w:val="22"/>
          <w:highlight w:val="yellow"/>
        </w:rPr>
        <w:t>SOIT</w:t>
      </w:r>
    </w:p>
    <w:p w14:paraId="7B354108" w14:textId="77777777" w:rsidR="00C01E30" w:rsidRPr="00B5440B" w:rsidRDefault="00C01E30" w:rsidP="00B5440B">
      <w:pPr>
        <w:autoSpaceDE w:val="0"/>
        <w:autoSpaceDN w:val="0"/>
        <w:adjustRightInd w:val="0"/>
        <w:spacing w:before="0"/>
        <w:ind w:left="1276"/>
        <w:jc w:val="both"/>
        <w:rPr>
          <w:rFonts w:ascii="Times New Roman" w:hAnsi="Times New Roman"/>
          <w:sz w:val="22"/>
          <w:szCs w:val="22"/>
        </w:rPr>
      </w:pPr>
      <w:r>
        <w:rPr>
          <w:rFonts w:ascii="Times New Roman" w:hAnsi="Times New Roman"/>
          <w:sz w:val="22"/>
          <w:highlight w:val="lightGray"/>
        </w:rPr>
        <w:t xml:space="preserve">Tout litige entre les parties résultant du marché ou ayant un lien avec le marché, qui ne peut être réglé autrement, sera soumis à l’arbitrage conformément aux règles d’arbitrage [de la Chambre de commerce internationale] [de la Commission des Nations unies pour le droit commercial international] [du règlement de procédure de conciliation et d’arbitrage du PRAG, joint au présent marché. </w:t>
      </w:r>
      <w:r>
        <w:rPr>
          <w:rFonts w:ascii="Times New Roman" w:hAnsi="Times New Roman"/>
          <w:sz w:val="22"/>
          <w:highlight w:val="yellow"/>
        </w:rPr>
        <w:t>&lt;Veuillez joindre l’annexe A12b du PRAG au marché</w:t>
      </w:r>
      <w:r>
        <w:rPr>
          <w:rFonts w:ascii="Times New Roman" w:hAnsi="Times New Roman"/>
          <w:sz w:val="22"/>
          <w:highlight w:val="lightGray"/>
        </w:rPr>
        <w:t>&gt;</w:t>
      </w:r>
      <w:r>
        <w:rPr>
          <w:rFonts w:ascii="Times New Roman" w:hAnsi="Times New Roman"/>
          <w:sz w:val="22"/>
        </w:rPr>
        <w:t>]]</w:t>
      </w:r>
    </w:p>
    <w:p w14:paraId="450CCB8A" w14:textId="77777777" w:rsidR="00C01E30" w:rsidRPr="00B5440B" w:rsidRDefault="00C01E30" w:rsidP="00B5440B">
      <w:pPr>
        <w:keepNext/>
        <w:autoSpaceDE w:val="0"/>
        <w:autoSpaceDN w:val="0"/>
        <w:adjustRightInd w:val="0"/>
        <w:spacing w:before="0"/>
        <w:ind w:left="1276"/>
        <w:jc w:val="both"/>
        <w:rPr>
          <w:rFonts w:ascii="Times New Roman" w:hAnsi="Times New Roman"/>
          <w:sz w:val="22"/>
          <w:szCs w:val="22"/>
          <w:highlight w:val="magenta"/>
        </w:rPr>
      </w:pPr>
      <w:r>
        <w:rPr>
          <w:rFonts w:ascii="Times New Roman" w:hAnsi="Times New Roman"/>
          <w:smallCaps/>
          <w:sz w:val="22"/>
        </w:rPr>
        <w:t>[</w:t>
      </w:r>
      <w:proofErr w:type="gramStart"/>
      <w:r>
        <w:rPr>
          <w:rFonts w:ascii="Times New Roman" w:hAnsi="Times New Roman"/>
          <w:smallCaps/>
          <w:sz w:val="22"/>
          <w:highlight w:val="yellow"/>
        </w:rPr>
        <w:t>IVCDCI:</w:t>
      </w:r>
      <w:proofErr w:type="gramEnd"/>
    </w:p>
    <w:p w14:paraId="16E93BE3" w14:textId="77777777" w:rsidR="00C01E30" w:rsidRPr="00B5440B" w:rsidRDefault="00C01E30" w:rsidP="00B5440B">
      <w:pPr>
        <w:autoSpaceDE w:val="0"/>
        <w:autoSpaceDN w:val="0"/>
        <w:adjustRightInd w:val="0"/>
        <w:spacing w:before="0"/>
        <w:ind w:left="1276"/>
        <w:jc w:val="both"/>
        <w:rPr>
          <w:rFonts w:ascii="Times New Roman" w:hAnsi="Times New Roman"/>
          <w:sz w:val="22"/>
          <w:szCs w:val="22"/>
          <w:highlight w:val="lightGray"/>
        </w:rPr>
      </w:pPr>
      <w:r>
        <w:rPr>
          <w:rFonts w:ascii="Times New Roman" w:hAnsi="Times New Roman"/>
          <w:sz w:val="22"/>
          <w:highlight w:val="lightGray"/>
        </w:rPr>
        <w:t xml:space="preserve">[Tout litige entre les parties résultant du marché ou ayant un lien avec le marché, qui ne peut être réglé </w:t>
      </w:r>
      <w:proofErr w:type="gramStart"/>
      <w:r>
        <w:rPr>
          <w:rFonts w:ascii="Times New Roman" w:hAnsi="Times New Roman"/>
          <w:sz w:val="22"/>
          <w:highlight w:val="lightGray"/>
        </w:rPr>
        <w:t>autrement:</w:t>
      </w:r>
      <w:proofErr w:type="gramEnd"/>
    </w:p>
    <w:p w14:paraId="0CAB2346" w14:textId="77777777" w:rsidR="00C01E30" w:rsidRPr="00B5440B" w:rsidRDefault="00C01E30" w:rsidP="00B5440B">
      <w:pPr>
        <w:autoSpaceDE w:val="0"/>
        <w:autoSpaceDN w:val="0"/>
        <w:adjustRightInd w:val="0"/>
        <w:spacing w:before="0"/>
        <w:ind w:left="1701" w:hanging="357"/>
        <w:jc w:val="both"/>
        <w:rPr>
          <w:rFonts w:ascii="Times New Roman" w:hAnsi="Times New Roman"/>
          <w:sz w:val="22"/>
          <w:szCs w:val="22"/>
          <w:highlight w:val="lightGray"/>
        </w:rPr>
      </w:pPr>
      <w:r>
        <w:rPr>
          <w:rFonts w:ascii="Times New Roman" w:hAnsi="Times New Roman"/>
          <w:sz w:val="22"/>
          <w:highlight w:val="lightGray"/>
        </w:rPr>
        <w:t>a)</w:t>
      </w:r>
      <w:r>
        <w:rPr>
          <w:rFonts w:ascii="Times New Roman" w:hAnsi="Times New Roman"/>
          <w:sz w:val="22"/>
          <w:highlight w:val="lightGray"/>
        </w:rPr>
        <w:tab/>
        <w:t xml:space="preserve">en cas de marché national, sera réglé conformément à la législation nationale de l’État du pouvoir </w:t>
      </w:r>
      <w:proofErr w:type="gramStart"/>
      <w:r>
        <w:rPr>
          <w:rFonts w:ascii="Times New Roman" w:hAnsi="Times New Roman"/>
          <w:sz w:val="22"/>
          <w:highlight w:val="lightGray"/>
        </w:rPr>
        <w:t>adjudicateur;</w:t>
      </w:r>
      <w:proofErr w:type="gramEnd"/>
      <w:r>
        <w:rPr>
          <w:rFonts w:ascii="Times New Roman" w:hAnsi="Times New Roman"/>
          <w:sz w:val="22"/>
          <w:highlight w:val="lightGray"/>
        </w:rPr>
        <w:t xml:space="preserve"> et</w:t>
      </w:r>
    </w:p>
    <w:p w14:paraId="1C74E390" w14:textId="77777777" w:rsidR="00C01E30" w:rsidRPr="00B5440B" w:rsidRDefault="00C01E30" w:rsidP="00B5440B">
      <w:pPr>
        <w:autoSpaceDE w:val="0"/>
        <w:autoSpaceDN w:val="0"/>
        <w:adjustRightInd w:val="0"/>
        <w:spacing w:before="0"/>
        <w:ind w:left="1701" w:hanging="357"/>
        <w:jc w:val="both"/>
        <w:rPr>
          <w:rFonts w:ascii="Times New Roman" w:hAnsi="Times New Roman"/>
          <w:sz w:val="22"/>
          <w:szCs w:val="22"/>
        </w:rPr>
      </w:pPr>
      <w:r>
        <w:rPr>
          <w:rFonts w:ascii="Times New Roman" w:hAnsi="Times New Roman"/>
          <w:sz w:val="22"/>
          <w:highlight w:val="lightGray"/>
        </w:rPr>
        <w:t>b)</w:t>
      </w:r>
      <w:r>
        <w:rPr>
          <w:rFonts w:ascii="Times New Roman" w:hAnsi="Times New Roman"/>
          <w:sz w:val="22"/>
          <w:highlight w:val="lightGray"/>
        </w:rPr>
        <w:tab/>
        <w:t>en cas de marché transnational, sera réglé par arbitrage conformément au règlement de procédure de conciliation et d’arbitrage du PRAG, joint au présent marché. Si ces règles ont été modifiées au moment de l’ouverture de la procédure d’arbitrage, les règles modifiées s’appliqueront.</w:t>
      </w:r>
      <w:r>
        <w:rPr>
          <w:rFonts w:ascii="Times New Roman" w:hAnsi="Times New Roman"/>
          <w:sz w:val="22"/>
        </w:rPr>
        <w:t>)</w:t>
      </w:r>
      <w:r>
        <w:rPr>
          <w:rFonts w:ascii="Times New Roman" w:hAnsi="Times New Roman"/>
          <w:sz w:val="22"/>
          <w:highlight w:val="lightGray"/>
        </w:rPr>
        <w:t xml:space="preserve"> </w:t>
      </w:r>
      <w:r>
        <w:rPr>
          <w:rFonts w:ascii="Times New Roman" w:hAnsi="Times New Roman"/>
          <w:sz w:val="22"/>
          <w:highlight w:val="yellow"/>
        </w:rPr>
        <w:t>&lt;Veuillez joindre l’annexe </w:t>
      </w:r>
      <w:bookmarkStart w:id="34" w:name="_Hlk144887562"/>
      <w:r>
        <w:rPr>
          <w:rFonts w:ascii="Times New Roman" w:hAnsi="Times New Roman"/>
          <w:sz w:val="22"/>
          <w:highlight w:val="yellow"/>
        </w:rPr>
        <w:t>A12b</w:t>
      </w:r>
      <w:bookmarkEnd w:id="34"/>
      <w:r>
        <w:rPr>
          <w:rFonts w:ascii="Times New Roman" w:hAnsi="Times New Roman"/>
          <w:sz w:val="22"/>
          <w:highlight w:val="yellow"/>
        </w:rPr>
        <w:t xml:space="preserve"> du PRAG au marché</w:t>
      </w:r>
      <w:r>
        <w:rPr>
          <w:rFonts w:ascii="Times New Roman" w:hAnsi="Times New Roman"/>
          <w:sz w:val="22"/>
          <w:highlight w:val="lightGray"/>
        </w:rPr>
        <w:t>&gt;</w:t>
      </w:r>
      <w:r>
        <w:rPr>
          <w:rFonts w:ascii="Times New Roman" w:hAnsi="Times New Roman"/>
          <w:sz w:val="22"/>
          <w:highlight w:val="yellow"/>
        </w:rPr>
        <w:t>]</w:t>
      </w:r>
    </w:p>
    <w:p w14:paraId="4B4AC874" w14:textId="77777777" w:rsidR="00C01E30" w:rsidRPr="00B5440B" w:rsidRDefault="00C01E30" w:rsidP="00B5440B">
      <w:pPr>
        <w:autoSpaceDE w:val="0"/>
        <w:autoSpaceDN w:val="0"/>
        <w:adjustRightInd w:val="0"/>
        <w:spacing w:before="0"/>
        <w:ind w:left="1440"/>
        <w:jc w:val="both"/>
        <w:rPr>
          <w:rFonts w:ascii="Times New Roman" w:hAnsi="Times New Roman"/>
          <w:sz w:val="22"/>
          <w:szCs w:val="22"/>
        </w:rPr>
      </w:pPr>
      <w:r>
        <w:rPr>
          <w:rFonts w:ascii="Times New Roman" w:hAnsi="Times New Roman"/>
          <w:sz w:val="22"/>
        </w:rPr>
        <w:t>[</w:t>
      </w:r>
      <w:r>
        <w:rPr>
          <w:rFonts w:ascii="Times New Roman" w:hAnsi="Times New Roman"/>
          <w:sz w:val="22"/>
          <w:highlight w:val="yellow"/>
        </w:rPr>
        <w:t>Pour les marchés d’un montant inférieur à 5 000 000 </w:t>
      </w:r>
      <w:proofErr w:type="gramStart"/>
      <w:r>
        <w:rPr>
          <w:rFonts w:ascii="Times New Roman" w:hAnsi="Times New Roman"/>
          <w:sz w:val="22"/>
          <w:highlight w:val="yellow"/>
        </w:rPr>
        <w:t>EUR</w:t>
      </w:r>
      <w:r>
        <w:rPr>
          <w:rFonts w:ascii="Times New Roman" w:hAnsi="Times New Roman"/>
          <w:sz w:val="22"/>
        </w:rPr>
        <w:t>:</w:t>
      </w:r>
      <w:proofErr w:type="gramEnd"/>
      <w:r>
        <w:rPr>
          <w:rFonts w:ascii="Times New Roman" w:hAnsi="Times New Roman"/>
          <w:sz w:val="22"/>
        </w:rPr>
        <w:t xml:space="preserve"> </w:t>
      </w:r>
      <w:r>
        <w:rPr>
          <w:rFonts w:ascii="Times New Roman" w:hAnsi="Times New Roman"/>
          <w:sz w:val="22"/>
          <w:highlight w:val="lightGray"/>
        </w:rPr>
        <w:t>Le tribunal arbitral est composé d’un arbitre unique</w:t>
      </w:r>
      <w:r>
        <w:rPr>
          <w:rFonts w:ascii="Times New Roman" w:hAnsi="Times New Roman"/>
          <w:sz w:val="22"/>
        </w:rPr>
        <w:t>.]</w:t>
      </w:r>
    </w:p>
    <w:p w14:paraId="7E90D75E" w14:textId="77777777" w:rsidR="00C01E30" w:rsidRPr="00B5440B" w:rsidRDefault="00C01E30" w:rsidP="00B5440B">
      <w:pPr>
        <w:autoSpaceDE w:val="0"/>
        <w:autoSpaceDN w:val="0"/>
        <w:adjustRightInd w:val="0"/>
        <w:spacing w:before="0"/>
        <w:ind w:left="1440"/>
        <w:jc w:val="both"/>
        <w:rPr>
          <w:rFonts w:ascii="Times New Roman" w:hAnsi="Times New Roman"/>
          <w:iCs/>
          <w:sz w:val="22"/>
          <w:szCs w:val="22"/>
          <w:highlight w:val="lightGray"/>
        </w:rPr>
      </w:pPr>
      <w:r>
        <w:rPr>
          <w:rFonts w:ascii="Times New Roman" w:hAnsi="Times New Roman"/>
          <w:sz w:val="22"/>
          <w:highlight w:val="lightGray"/>
        </w:rPr>
        <w:t>À la demande du tribunal arbitral, la Commission européenne publie</w:t>
      </w:r>
      <w:r>
        <w:rPr>
          <w:rFonts w:ascii="Times New Roman" w:hAnsi="Times New Roman"/>
          <w:color w:val="FF0000"/>
          <w:sz w:val="22"/>
          <w:highlight w:val="lightGray"/>
        </w:rPr>
        <w:t xml:space="preserve"> </w:t>
      </w:r>
      <w:r>
        <w:rPr>
          <w:rFonts w:ascii="Times New Roman" w:hAnsi="Times New Roman"/>
          <w:sz w:val="22"/>
          <w:highlight w:val="lightGray"/>
        </w:rPr>
        <w:t>toute sentence arbitrale résultant du présent marché, après anonymisation, sur le site web externe de la Commission européenne.</w:t>
      </w:r>
    </w:p>
    <w:p w14:paraId="3069DE4A" w14:textId="77777777" w:rsidR="00C01E30" w:rsidRPr="00B5440B" w:rsidRDefault="00C01E30" w:rsidP="00B5440B">
      <w:pPr>
        <w:autoSpaceDE w:val="0"/>
        <w:autoSpaceDN w:val="0"/>
        <w:adjustRightInd w:val="0"/>
        <w:spacing w:before="0"/>
        <w:ind w:left="1440"/>
        <w:jc w:val="both"/>
        <w:rPr>
          <w:rFonts w:ascii="Times New Roman" w:hAnsi="Times New Roman"/>
          <w:sz w:val="22"/>
          <w:szCs w:val="22"/>
        </w:rPr>
      </w:pPr>
      <w:r>
        <w:rPr>
          <w:rFonts w:ascii="Times New Roman" w:hAnsi="Times New Roman"/>
          <w:sz w:val="22"/>
          <w:highlight w:val="lightGray"/>
        </w:rPr>
        <w:t>La compétence conférée en vertu de la présente clause est exclusive et toute compétence résultant d’un traité d’investissement bilatéral ou multilatéral ou des règles du CIRDI (</w:t>
      </w:r>
      <w:hyperlink r:id="rId11" w:history="1">
        <w:r>
          <w:rPr>
            <w:rFonts w:ascii="Times New Roman" w:hAnsi="Times New Roman"/>
            <w:color w:val="0000FF"/>
            <w:sz w:val="22"/>
            <w:highlight w:val="lightGray"/>
            <w:u w:val="single"/>
          </w:rPr>
          <w:t>Centre international pour le règlement des différends relatifs aux investissements</w:t>
        </w:r>
      </w:hyperlink>
      <w:r>
        <w:rPr>
          <w:rFonts w:ascii="Times New Roman" w:hAnsi="Times New Roman"/>
          <w:sz w:val="22"/>
          <w:highlight w:val="lightGray"/>
        </w:rPr>
        <w:t>) est explicitement exclue</w:t>
      </w:r>
      <w:r>
        <w:rPr>
          <w:rFonts w:ascii="Times New Roman" w:hAnsi="Times New Roman"/>
          <w:sz w:val="22"/>
        </w:rPr>
        <w:t>.</w:t>
      </w:r>
      <w:r>
        <w:rPr>
          <w:rFonts w:ascii="Times New Roman" w:hAnsi="Times New Roman"/>
          <w:sz w:val="22"/>
          <w:highlight w:val="yellow"/>
        </w:rPr>
        <w:t>]</w:t>
      </w:r>
      <w:r>
        <w:rPr>
          <w:rFonts w:ascii="Times New Roman" w:hAnsi="Times New Roman"/>
          <w:sz w:val="22"/>
        </w:rPr>
        <w:t xml:space="preserve"> </w:t>
      </w:r>
    </w:p>
    <w:p w14:paraId="55648445" w14:textId="05B6CD05" w:rsidR="00C01E30" w:rsidRPr="00C01E30" w:rsidRDefault="00C01E30" w:rsidP="00B5440B">
      <w:pPr>
        <w:autoSpaceDE w:val="0"/>
        <w:autoSpaceDN w:val="0"/>
        <w:adjustRightInd w:val="0"/>
        <w:spacing w:before="0"/>
        <w:ind w:left="556" w:firstLine="720"/>
        <w:jc w:val="both"/>
        <w:rPr>
          <w:rFonts w:ascii="Times New Roman" w:hAnsi="Times New Roman"/>
          <w:sz w:val="22"/>
          <w:szCs w:val="22"/>
          <w:highlight w:val="yellow"/>
        </w:rPr>
      </w:pPr>
      <w:r>
        <w:rPr>
          <w:rFonts w:ascii="Times New Roman" w:hAnsi="Times New Roman"/>
          <w:sz w:val="22"/>
          <w:highlight w:val="yellow"/>
        </w:rPr>
        <w:t>[Uniquement pour les marchés financés par des instruments antérieurs à 2021 (FED, ICD, etc.</w:t>
      </w:r>
      <w:proofErr w:type="gramStart"/>
      <w:r>
        <w:rPr>
          <w:rFonts w:ascii="Times New Roman" w:hAnsi="Times New Roman"/>
          <w:sz w:val="22"/>
          <w:highlight w:val="yellow"/>
        </w:rPr>
        <w:t>):</w:t>
      </w:r>
      <w:proofErr w:type="gramEnd"/>
    </w:p>
    <w:p w14:paraId="07E88B33" w14:textId="77777777" w:rsidR="0047783A" w:rsidRPr="003D6B6C" w:rsidRDefault="00216ADC" w:rsidP="005A123C">
      <w:pPr>
        <w:spacing w:before="0"/>
        <w:ind w:left="1134"/>
        <w:jc w:val="both"/>
        <w:rPr>
          <w:rFonts w:ascii="Times New Roman" w:hAnsi="Times New Roman"/>
          <w:sz w:val="22"/>
          <w:szCs w:val="22"/>
          <w:highlight w:val="yellow"/>
        </w:rPr>
      </w:pPr>
      <w:r>
        <w:rPr>
          <w:rFonts w:ascii="Times New Roman" w:hAnsi="Times New Roman"/>
          <w:sz w:val="22"/>
          <w:highlight w:val="yellow"/>
        </w:rPr>
        <w:t xml:space="preserve">Budget général de </w:t>
      </w:r>
      <w:proofErr w:type="gramStart"/>
      <w:r>
        <w:rPr>
          <w:rFonts w:ascii="Times New Roman" w:hAnsi="Times New Roman"/>
          <w:sz w:val="22"/>
          <w:highlight w:val="yellow"/>
        </w:rPr>
        <w:t>l’Union:</w:t>
      </w:r>
      <w:proofErr w:type="gramEnd"/>
    </w:p>
    <w:p w14:paraId="7F30D5A7" w14:textId="77777777" w:rsidR="0047783A" w:rsidRPr="003D6B6C" w:rsidRDefault="0047783A" w:rsidP="00B5440B">
      <w:pPr>
        <w:spacing w:before="0"/>
        <w:ind w:left="1134"/>
        <w:jc w:val="both"/>
        <w:rPr>
          <w:rFonts w:ascii="Times New Roman" w:hAnsi="Times New Roman"/>
          <w:sz w:val="22"/>
          <w:szCs w:val="22"/>
        </w:rPr>
      </w:pPr>
      <w:r>
        <w:rPr>
          <w:rFonts w:ascii="Times New Roman" w:hAnsi="Times New Roman"/>
          <w:sz w:val="22"/>
          <w:highlight w:val="yellow"/>
        </w:rPr>
        <w:t>SOIT</w:t>
      </w:r>
    </w:p>
    <w:p w14:paraId="0F81555E" w14:textId="77777777" w:rsidR="0047783A" w:rsidRPr="003D6B6C" w:rsidRDefault="0047783A" w:rsidP="00B5440B">
      <w:pPr>
        <w:spacing w:before="0"/>
        <w:ind w:left="1134" w:hanging="708"/>
        <w:jc w:val="both"/>
        <w:rPr>
          <w:rFonts w:ascii="Times New Roman" w:hAnsi="Times New Roman"/>
          <w:sz w:val="22"/>
          <w:szCs w:val="22"/>
        </w:rPr>
      </w:pPr>
      <w:r>
        <w:rPr>
          <w:rFonts w:ascii="Times New Roman" w:hAnsi="Times New Roman"/>
          <w:sz w:val="22"/>
        </w:rPr>
        <w:lastRenderedPageBreak/>
        <w:t>40.4</w:t>
      </w:r>
      <w:r>
        <w:rPr>
          <w:rFonts w:ascii="Times New Roman" w:hAnsi="Times New Roman"/>
          <w:sz w:val="22"/>
        </w:rPr>
        <w:tab/>
        <w:t>[</w:t>
      </w:r>
      <w:r>
        <w:rPr>
          <w:rFonts w:ascii="Times New Roman" w:hAnsi="Times New Roman"/>
          <w:sz w:val="22"/>
          <w:highlight w:val="lightGray"/>
        </w:rPr>
        <w:t>Tout différend survenant dans l’exécution du présent marché et qui ne peut être réglé d’une autre manière est de la compétence exclusive de &lt;</w:t>
      </w:r>
      <w:r>
        <w:rPr>
          <w:rFonts w:ascii="Times New Roman" w:hAnsi="Times New Roman"/>
          <w:sz w:val="22"/>
          <w:highlight w:val="yellow"/>
        </w:rPr>
        <w:t>préciser</w:t>
      </w:r>
      <w:r>
        <w:rPr>
          <w:rFonts w:ascii="Times New Roman" w:hAnsi="Times New Roman"/>
          <w:sz w:val="22"/>
          <w:highlight w:val="lightGray"/>
        </w:rPr>
        <w:t>&gt; conformément à la législation nationale de l’État du pouvoir adjudicateur.</w:t>
      </w:r>
      <w:r>
        <w:rPr>
          <w:rFonts w:ascii="Times New Roman" w:hAnsi="Times New Roman"/>
          <w:sz w:val="22"/>
        </w:rPr>
        <w:t>]</w:t>
      </w:r>
    </w:p>
    <w:p w14:paraId="6FB4A7A0" w14:textId="77777777" w:rsidR="0047783A" w:rsidRPr="003D6B6C" w:rsidRDefault="0047783A" w:rsidP="00B5440B">
      <w:pPr>
        <w:spacing w:before="0"/>
        <w:ind w:left="1134"/>
        <w:jc w:val="both"/>
        <w:rPr>
          <w:rFonts w:ascii="Times New Roman" w:hAnsi="Times New Roman"/>
          <w:sz w:val="22"/>
          <w:szCs w:val="22"/>
        </w:rPr>
      </w:pPr>
      <w:r>
        <w:rPr>
          <w:rFonts w:ascii="Times New Roman" w:hAnsi="Times New Roman"/>
          <w:sz w:val="22"/>
          <w:highlight w:val="yellow"/>
        </w:rPr>
        <w:t>SOIT</w:t>
      </w:r>
    </w:p>
    <w:p w14:paraId="008F92F9" w14:textId="77777777" w:rsidR="0047783A" w:rsidRPr="003D6B6C" w:rsidRDefault="0047783A" w:rsidP="00B5440B">
      <w:pPr>
        <w:spacing w:before="0"/>
        <w:ind w:left="1134" w:hanging="708"/>
        <w:jc w:val="both"/>
        <w:rPr>
          <w:rFonts w:ascii="Times New Roman" w:hAnsi="Times New Roman"/>
          <w:sz w:val="22"/>
          <w:szCs w:val="22"/>
        </w:rPr>
      </w:pPr>
      <w:r>
        <w:rPr>
          <w:rFonts w:ascii="Times New Roman" w:hAnsi="Times New Roman"/>
          <w:sz w:val="22"/>
        </w:rPr>
        <w:t>40.4</w:t>
      </w:r>
      <w:r>
        <w:rPr>
          <w:rFonts w:ascii="Times New Roman" w:hAnsi="Times New Roman"/>
          <w:sz w:val="22"/>
        </w:rPr>
        <w:tab/>
        <w:t>[</w:t>
      </w:r>
      <w:r>
        <w:rPr>
          <w:rFonts w:ascii="Times New Roman" w:hAnsi="Times New Roman"/>
          <w:sz w:val="22"/>
          <w:highlight w:val="lightGray"/>
        </w:rPr>
        <w:t>Tout litige entre les parties résultant du marché ou ayant un lien avec le marché, qui ne peut pas être réglé autrement, sera soumis à l’arbitrage de &lt;</w:t>
      </w:r>
      <w:r>
        <w:rPr>
          <w:rFonts w:ascii="Times New Roman" w:hAnsi="Times New Roman"/>
          <w:sz w:val="22"/>
          <w:highlight w:val="yellow"/>
        </w:rPr>
        <w:t>préciser l’organe d’arbitrage</w:t>
      </w:r>
      <w:r>
        <w:rPr>
          <w:rFonts w:ascii="Times New Roman" w:hAnsi="Times New Roman"/>
          <w:sz w:val="22"/>
          <w:highlight w:val="lightGray"/>
        </w:rPr>
        <w:t xml:space="preserve">&gt; conformément aux règles d’arbitrage de [la Chambre de Commerce internationale] [la Commission des Nations unies pour le droit commercial international] [&lt; </w:t>
      </w:r>
      <w:r>
        <w:rPr>
          <w:rFonts w:ascii="Times New Roman" w:hAnsi="Times New Roman"/>
          <w:sz w:val="22"/>
          <w:highlight w:val="yellow"/>
        </w:rPr>
        <w:t>toute autre procédure d’arbitrage internationalement reconnue</w:t>
      </w:r>
      <w:r>
        <w:rPr>
          <w:rFonts w:ascii="Times New Roman" w:hAnsi="Times New Roman"/>
          <w:sz w:val="22"/>
          <w:highlight w:val="lightGray"/>
        </w:rPr>
        <w:t>&gt;].]</w:t>
      </w:r>
    </w:p>
    <w:p w14:paraId="1F061906" w14:textId="77777777" w:rsidR="0047783A" w:rsidRPr="003D6B6C" w:rsidRDefault="0047783A" w:rsidP="00B5440B">
      <w:pPr>
        <w:pStyle w:val="Title"/>
        <w:spacing w:before="0"/>
        <w:ind w:left="1134"/>
        <w:jc w:val="both"/>
        <w:rPr>
          <w:rFonts w:ascii="Times New Roman" w:hAnsi="Times New Roman"/>
          <w:b w:val="0"/>
          <w:bCs/>
          <w:smallCaps/>
          <w:sz w:val="22"/>
          <w:szCs w:val="22"/>
          <w:highlight w:val="yellow"/>
        </w:rPr>
      </w:pPr>
      <w:r>
        <w:rPr>
          <w:rFonts w:ascii="Times New Roman" w:hAnsi="Times New Roman"/>
          <w:b w:val="0"/>
          <w:sz w:val="22"/>
          <w:highlight w:val="yellow"/>
        </w:rPr>
        <w:t>[</w:t>
      </w:r>
      <w:proofErr w:type="gramStart"/>
      <w:r>
        <w:rPr>
          <w:rFonts w:ascii="Times New Roman" w:hAnsi="Times New Roman"/>
          <w:b w:val="0"/>
          <w:sz w:val="22"/>
          <w:highlight w:val="yellow"/>
        </w:rPr>
        <w:t>FED:</w:t>
      </w:r>
      <w:proofErr w:type="gramEnd"/>
    </w:p>
    <w:p w14:paraId="47FAC85B" w14:textId="77777777" w:rsidR="0047783A" w:rsidRPr="003D6B6C" w:rsidRDefault="0047783A" w:rsidP="00B5440B">
      <w:pPr>
        <w:tabs>
          <w:tab w:val="left" w:pos="1417"/>
          <w:tab w:val="left" w:pos="2126"/>
          <w:tab w:val="left" w:pos="2835"/>
        </w:tabs>
        <w:spacing w:before="0"/>
        <w:ind w:left="1134"/>
        <w:rPr>
          <w:rFonts w:ascii="Times New Roman" w:hAnsi="Times New Roman"/>
          <w:sz w:val="22"/>
          <w:szCs w:val="22"/>
        </w:rPr>
      </w:pPr>
      <w:r>
        <w:rPr>
          <w:rFonts w:ascii="Times New Roman" w:hAnsi="Times New Roman"/>
          <w:sz w:val="22"/>
        </w:rPr>
        <w:t>[</w:t>
      </w:r>
      <w:r>
        <w:rPr>
          <w:rFonts w:ascii="Times New Roman" w:hAnsi="Times New Roman"/>
          <w:sz w:val="22"/>
          <w:highlight w:val="lightGray"/>
        </w:rPr>
        <w:t xml:space="preserve">Tout litige entre les parties résultant du marché ou ayant un lien avec le marché, qui ne peut être réglé </w:t>
      </w:r>
      <w:proofErr w:type="gramStart"/>
      <w:r>
        <w:rPr>
          <w:rFonts w:ascii="Times New Roman" w:hAnsi="Times New Roman"/>
          <w:sz w:val="22"/>
          <w:highlight w:val="lightGray"/>
        </w:rPr>
        <w:t>autrement:</w:t>
      </w:r>
      <w:proofErr w:type="gramEnd"/>
    </w:p>
    <w:p w14:paraId="7AE533D8" w14:textId="77777777" w:rsidR="0047783A" w:rsidRPr="00F017DE" w:rsidRDefault="001B55AC" w:rsidP="00B5440B">
      <w:pPr>
        <w:spacing w:before="0"/>
        <w:ind w:left="1560" w:hanging="426"/>
        <w:rPr>
          <w:rFonts w:ascii="Times New Roman" w:hAnsi="Times New Roman"/>
          <w:sz w:val="22"/>
          <w:szCs w:val="22"/>
          <w:highlight w:val="lightGray"/>
        </w:rPr>
      </w:pPr>
      <w:r>
        <w:rPr>
          <w:rFonts w:ascii="Times New Roman" w:hAnsi="Times New Roman"/>
          <w:sz w:val="22"/>
        </w:rPr>
        <w:t>a)</w:t>
      </w:r>
      <w:r>
        <w:rPr>
          <w:rFonts w:ascii="Times New Roman" w:hAnsi="Times New Roman"/>
          <w:sz w:val="22"/>
        </w:rPr>
        <w:tab/>
      </w:r>
      <w:r>
        <w:rPr>
          <w:rFonts w:ascii="Times New Roman" w:hAnsi="Times New Roman"/>
          <w:sz w:val="22"/>
          <w:highlight w:val="lightGray"/>
        </w:rPr>
        <w:t xml:space="preserve">en cas de marché national, sera réglé conformément à la législation nationale de l’État du pouvoir </w:t>
      </w:r>
      <w:proofErr w:type="gramStart"/>
      <w:r>
        <w:rPr>
          <w:rFonts w:ascii="Times New Roman" w:hAnsi="Times New Roman"/>
          <w:sz w:val="22"/>
          <w:highlight w:val="lightGray"/>
        </w:rPr>
        <w:t>adjudicateur;</w:t>
      </w:r>
      <w:proofErr w:type="gramEnd"/>
      <w:r>
        <w:rPr>
          <w:rFonts w:ascii="Times New Roman" w:hAnsi="Times New Roman"/>
          <w:sz w:val="22"/>
          <w:highlight w:val="lightGray"/>
        </w:rPr>
        <w:t xml:space="preserve"> et</w:t>
      </w:r>
    </w:p>
    <w:p w14:paraId="4602D377" w14:textId="77777777" w:rsidR="0047783A" w:rsidRPr="00F017DE" w:rsidRDefault="0047783A" w:rsidP="00B5440B">
      <w:pPr>
        <w:spacing w:before="0"/>
        <w:ind w:left="1560" w:hanging="426"/>
        <w:rPr>
          <w:rFonts w:ascii="Times New Roman" w:hAnsi="Times New Roman"/>
          <w:sz w:val="22"/>
          <w:szCs w:val="22"/>
          <w:highlight w:val="lightGray"/>
        </w:rPr>
      </w:pPr>
      <w:r>
        <w:rPr>
          <w:rFonts w:ascii="Times New Roman" w:hAnsi="Times New Roman"/>
          <w:sz w:val="22"/>
          <w:highlight w:val="lightGray"/>
        </w:rPr>
        <w:t>b)</w:t>
      </w:r>
      <w:r>
        <w:rPr>
          <w:rFonts w:ascii="Times New Roman" w:hAnsi="Times New Roman"/>
          <w:sz w:val="22"/>
          <w:highlight w:val="lightGray"/>
        </w:rPr>
        <w:tab/>
        <w:t xml:space="preserve">en cas de marché transnational, sera réglé </w:t>
      </w:r>
      <w:proofErr w:type="gramStart"/>
      <w:r>
        <w:rPr>
          <w:rFonts w:ascii="Times New Roman" w:hAnsi="Times New Roman"/>
          <w:sz w:val="22"/>
          <w:highlight w:val="lightGray"/>
        </w:rPr>
        <w:t>soit:</w:t>
      </w:r>
      <w:proofErr w:type="gramEnd"/>
    </w:p>
    <w:p w14:paraId="75774894" w14:textId="77777777" w:rsidR="0047783A" w:rsidRPr="00F017DE" w:rsidRDefault="0047783A" w:rsidP="00B5440B">
      <w:pPr>
        <w:tabs>
          <w:tab w:val="left" w:pos="2835"/>
        </w:tabs>
        <w:spacing w:before="0"/>
        <w:ind w:left="1985" w:hanging="425"/>
        <w:rPr>
          <w:rFonts w:ascii="Times New Roman" w:hAnsi="Times New Roman"/>
          <w:sz w:val="22"/>
          <w:szCs w:val="22"/>
          <w:highlight w:val="lightGray"/>
        </w:rPr>
      </w:pPr>
      <w:r>
        <w:rPr>
          <w:rFonts w:ascii="Times New Roman" w:hAnsi="Times New Roman"/>
          <w:sz w:val="22"/>
          <w:highlight w:val="lightGray"/>
        </w:rPr>
        <w:t>i)</w:t>
      </w:r>
      <w:r>
        <w:rPr>
          <w:rFonts w:ascii="Times New Roman" w:hAnsi="Times New Roman"/>
          <w:sz w:val="22"/>
          <w:highlight w:val="lightGray"/>
        </w:rPr>
        <w:tab/>
        <w:t xml:space="preserve">si les parties contractantes sont d’accord à cet égard, conformément à la législation nationale de l’État du pouvoir adjudicateur ou de ses pratiques internationales </w:t>
      </w:r>
      <w:proofErr w:type="gramStart"/>
      <w:r>
        <w:rPr>
          <w:rFonts w:ascii="Times New Roman" w:hAnsi="Times New Roman"/>
          <w:sz w:val="22"/>
          <w:highlight w:val="lightGray"/>
        </w:rPr>
        <w:t>établies;</w:t>
      </w:r>
      <w:proofErr w:type="gramEnd"/>
      <w:r>
        <w:rPr>
          <w:rFonts w:ascii="Times New Roman" w:hAnsi="Times New Roman"/>
          <w:sz w:val="22"/>
          <w:highlight w:val="lightGray"/>
        </w:rPr>
        <w:t xml:space="preserve"> ou</w:t>
      </w:r>
    </w:p>
    <w:p w14:paraId="7C28597C" w14:textId="73207994" w:rsidR="0038357E" w:rsidRDefault="0047783A" w:rsidP="00B5440B">
      <w:pPr>
        <w:autoSpaceDE w:val="0"/>
        <w:autoSpaceDN w:val="0"/>
        <w:adjustRightInd w:val="0"/>
        <w:spacing w:before="0"/>
        <w:ind w:left="1985" w:hanging="425"/>
        <w:jc w:val="both"/>
        <w:rPr>
          <w:rFonts w:ascii="Times New Roman" w:hAnsi="Times New Roman"/>
          <w:sz w:val="22"/>
          <w:szCs w:val="22"/>
        </w:rPr>
      </w:pPr>
      <w:r>
        <w:rPr>
          <w:rFonts w:ascii="Times New Roman" w:hAnsi="Times New Roman"/>
          <w:sz w:val="22"/>
          <w:highlight w:val="lightGray"/>
        </w:rPr>
        <w:t>ii)</w:t>
      </w:r>
      <w:r>
        <w:rPr>
          <w:rFonts w:ascii="Times New Roman" w:hAnsi="Times New Roman"/>
          <w:sz w:val="22"/>
          <w:highlight w:val="lightGray"/>
        </w:rPr>
        <w:tab/>
        <w:t>par arbitrage conformément au règlement de procédure de conciliation et d’arbitrage pour les marchés financés par le Fonds européen de développement, adopté par la décision nº 3/90 du Conseil des ministres ACP-CE du 29 mars 1990 (JO L 382 du 31.12.1990, annexe A12 du PRAG)</w:t>
      </w:r>
      <w:r>
        <w:rPr>
          <w:rFonts w:ascii="Times New Roman" w:hAnsi="Times New Roman"/>
          <w:sz w:val="22"/>
          <w:highlight w:val="yellow"/>
        </w:rPr>
        <w:t xml:space="preserve"> Veuillez joindre l’annexe A12 du PRAG au marché</w:t>
      </w:r>
      <w:r>
        <w:rPr>
          <w:rFonts w:ascii="Times New Roman" w:hAnsi="Times New Roman"/>
          <w:sz w:val="22"/>
        </w:rPr>
        <w:t>.</w:t>
      </w:r>
    </w:p>
    <w:p w14:paraId="32FDF6D7" w14:textId="3FE51E8C" w:rsidR="00407C90" w:rsidRPr="003D6B6C" w:rsidRDefault="00C01E30" w:rsidP="00F952A4">
      <w:pPr>
        <w:autoSpaceDE w:val="0"/>
        <w:autoSpaceDN w:val="0"/>
        <w:adjustRightInd w:val="0"/>
        <w:ind w:left="1767"/>
        <w:jc w:val="both"/>
        <w:rPr>
          <w:rFonts w:ascii="Times New Roman" w:hAnsi="Times New Roman"/>
          <w:sz w:val="22"/>
          <w:szCs w:val="22"/>
          <w:highlight w:val="yellow"/>
        </w:rPr>
      </w:pPr>
      <w:r>
        <w:rPr>
          <w:rFonts w:ascii="Times New Roman" w:hAnsi="Times New Roman"/>
          <w:sz w:val="22"/>
          <w:highlight w:val="lightGray"/>
        </w:rPr>
        <w:t>La compétence conférée en vertu de la présente clause est exclusive et toute compétence résultant d’un traité d’investissement bilatéral ou multilatéral ou des règles du CIRDI (</w:t>
      </w:r>
      <w:hyperlink r:id="rId12" w:history="1">
        <w:r>
          <w:rPr>
            <w:rFonts w:ascii="Times New Roman" w:hAnsi="Times New Roman"/>
            <w:color w:val="0000FF"/>
            <w:sz w:val="22"/>
            <w:highlight w:val="lightGray"/>
            <w:u w:val="single"/>
          </w:rPr>
          <w:t>Centre international pour le règlement des différends relatifs aux investissements</w:t>
        </w:r>
      </w:hyperlink>
      <w:r>
        <w:rPr>
          <w:rFonts w:ascii="Times New Roman" w:hAnsi="Times New Roman"/>
          <w:sz w:val="22"/>
          <w:highlight w:val="lightGray"/>
        </w:rPr>
        <w:t>) est explicitement exclue</w:t>
      </w:r>
      <w:r>
        <w:rPr>
          <w:rFonts w:ascii="Times New Roman" w:hAnsi="Times New Roman"/>
          <w:sz w:val="22"/>
        </w:rPr>
        <w:t>.</w:t>
      </w:r>
      <w:r>
        <w:rPr>
          <w:rFonts w:ascii="Times New Roman" w:hAnsi="Times New Roman"/>
          <w:sz w:val="22"/>
          <w:highlight w:val="yellow"/>
        </w:rPr>
        <w:t>]]]</w:t>
      </w:r>
    </w:p>
    <w:p w14:paraId="53F35545" w14:textId="1C0D7E49" w:rsidR="00407C90" w:rsidRDefault="00407C90" w:rsidP="00B5440B">
      <w:pPr>
        <w:keepNext/>
        <w:keepLines/>
        <w:tabs>
          <w:tab w:val="left" w:pos="1134"/>
        </w:tabs>
        <w:spacing w:before="240" w:after="0"/>
        <w:ind w:left="1134" w:hanging="1134"/>
        <w:rPr>
          <w:rFonts w:ascii="Times New Roman" w:hAnsi="Times New Roman"/>
          <w:b/>
          <w:sz w:val="24"/>
          <w:szCs w:val="24"/>
          <w:highlight w:val="lightGray"/>
        </w:rPr>
      </w:pPr>
      <w:r>
        <w:rPr>
          <w:rFonts w:ascii="Times New Roman" w:hAnsi="Times New Roman"/>
          <w:b/>
          <w:sz w:val="24"/>
          <w:highlight w:val="lightGray"/>
        </w:rPr>
        <w:t>Article 44</w:t>
      </w:r>
      <w:r>
        <w:rPr>
          <w:rFonts w:ascii="Times New Roman" w:hAnsi="Times New Roman"/>
          <w:b/>
          <w:sz w:val="24"/>
          <w:highlight w:val="lightGray"/>
        </w:rPr>
        <w:tab/>
        <w:t>Protection des données</w:t>
      </w:r>
    </w:p>
    <w:p w14:paraId="647B89E4" w14:textId="44D3A235" w:rsidR="00C05EBE" w:rsidRPr="00B5440B" w:rsidRDefault="00C05EBE" w:rsidP="00C05EBE">
      <w:pPr>
        <w:keepNext/>
        <w:keepLines/>
        <w:tabs>
          <w:tab w:val="left" w:pos="1134"/>
        </w:tabs>
        <w:spacing w:before="240"/>
        <w:ind w:left="1134" w:hanging="1134"/>
        <w:rPr>
          <w:rFonts w:ascii="Times New Roman" w:hAnsi="Times New Roman"/>
          <w:sz w:val="22"/>
          <w:szCs w:val="22"/>
        </w:rPr>
      </w:pPr>
      <w:r>
        <w:rPr>
          <w:rFonts w:ascii="Times New Roman" w:hAnsi="Times New Roman"/>
          <w:sz w:val="22"/>
          <w:highlight w:val="yellow"/>
        </w:rPr>
        <w:t xml:space="preserve">[Pour les marchés en gestion directe, insérez ce qui </w:t>
      </w:r>
      <w:proofErr w:type="gramStart"/>
      <w:r>
        <w:rPr>
          <w:rFonts w:ascii="Times New Roman" w:hAnsi="Times New Roman"/>
          <w:sz w:val="22"/>
          <w:highlight w:val="yellow"/>
        </w:rPr>
        <w:t>suit:</w:t>
      </w:r>
      <w:proofErr w:type="gramEnd"/>
    </w:p>
    <w:p w14:paraId="7265D547" w14:textId="77777777" w:rsidR="00C05EBE" w:rsidRPr="00B5440B" w:rsidRDefault="00C05EBE" w:rsidP="00C05EBE">
      <w:pPr>
        <w:jc w:val="both"/>
        <w:rPr>
          <w:rFonts w:ascii="Times New Roman" w:hAnsi="Times New Roman"/>
          <w:sz w:val="22"/>
          <w:szCs w:val="22"/>
        </w:rPr>
      </w:pPr>
      <w:r>
        <w:rPr>
          <w:rFonts w:ascii="Times New Roman" w:hAnsi="Times New Roman"/>
          <w:sz w:val="22"/>
        </w:rPr>
        <w:t xml:space="preserve">[Aux fins de l’article 44 des conditions générales, </w:t>
      </w:r>
    </w:p>
    <w:p w14:paraId="47B402BF" w14:textId="77777777" w:rsidR="00C05EBE" w:rsidRPr="00B5440B" w:rsidRDefault="00C05EBE" w:rsidP="00C05EBE">
      <w:pPr>
        <w:numPr>
          <w:ilvl w:val="0"/>
          <w:numId w:val="25"/>
        </w:numPr>
        <w:spacing w:before="100" w:beforeAutospacing="1" w:after="100" w:afterAutospacing="1"/>
        <w:contextualSpacing/>
        <w:jc w:val="both"/>
        <w:rPr>
          <w:rFonts w:ascii="Times New Roman" w:hAnsi="Times New Roman"/>
          <w:snapToGrid/>
          <w:sz w:val="22"/>
          <w:szCs w:val="22"/>
        </w:rPr>
      </w:pPr>
      <w:r>
        <w:rPr>
          <w:rFonts w:ascii="Times New Roman" w:hAnsi="Times New Roman"/>
          <w:snapToGrid/>
          <w:sz w:val="22"/>
        </w:rPr>
        <w:t>[</w:t>
      </w:r>
      <w:r>
        <w:rPr>
          <w:rFonts w:ascii="Times New Roman" w:hAnsi="Times New Roman"/>
          <w:snapToGrid/>
          <w:sz w:val="22"/>
          <w:highlight w:val="yellow"/>
        </w:rPr>
        <w:t>Pour la DG INTPA</w:t>
      </w:r>
      <w:r>
        <w:rPr>
          <w:rFonts w:ascii="Times New Roman" w:hAnsi="Times New Roman"/>
          <w:snapToGrid/>
          <w:sz w:val="22"/>
        </w:rPr>
        <w:t xml:space="preserve"> </w:t>
      </w:r>
      <w:r>
        <w:rPr>
          <w:rFonts w:ascii="Times New Roman" w:hAnsi="Times New Roman"/>
          <w:snapToGrid/>
          <w:sz w:val="22"/>
          <w:highlight w:val="lightGray"/>
        </w:rPr>
        <w:t>le responsable du traitement des données est le chef de l’unité</w:t>
      </w:r>
      <w:proofErr w:type="gramStart"/>
      <w:r>
        <w:rPr>
          <w:rFonts w:ascii="Times New Roman" w:hAnsi="Times New Roman"/>
          <w:snapToGrid/>
          <w:sz w:val="22"/>
          <w:highlight w:val="lightGray"/>
        </w:rPr>
        <w:t xml:space="preserve"> «Affaires</w:t>
      </w:r>
      <w:proofErr w:type="gramEnd"/>
      <w:r>
        <w:rPr>
          <w:rFonts w:ascii="Times New Roman" w:hAnsi="Times New Roman"/>
          <w:snapToGrid/>
          <w:sz w:val="22"/>
          <w:highlight w:val="lightGray"/>
        </w:rPr>
        <w:t xml:space="preserve"> juridiques» de la DG Partenariats internationaux</w:t>
      </w:r>
      <w:r>
        <w:rPr>
          <w:rFonts w:ascii="Times New Roman" w:hAnsi="Times New Roman"/>
          <w:snapToGrid/>
          <w:sz w:val="22"/>
        </w:rPr>
        <w:t>]</w:t>
      </w:r>
    </w:p>
    <w:p w14:paraId="5FDA4043" w14:textId="77777777" w:rsidR="00C05EBE" w:rsidRPr="00B5440B" w:rsidRDefault="00C05EBE" w:rsidP="00C05EBE">
      <w:pPr>
        <w:spacing w:after="200" w:line="276" w:lineRule="auto"/>
        <w:ind w:left="720"/>
        <w:contextualSpacing/>
        <w:jc w:val="both"/>
        <w:rPr>
          <w:rFonts w:ascii="Times New Roman" w:eastAsia="Calibri" w:hAnsi="Times New Roman"/>
          <w:snapToGrid/>
          <w:sz w:val="22"/>
          <w:szCs w:val="22"/>
        </w:rPr>
      </w:pPr>
      <w:r>
        <w:rPr>
          <w:rFonts w:ascii="Times New Roman" w:hAnsi="Times New Roman"/>
          <w:snapToGrid/>
          <w:sz w:val="22"/>
          <w:highlight w:val="yellow"/>
        </w:rPr>
        <w:t>[Pour la DG NEAR</w:t>
      </w:r>
      <w:r>
        <w:rPr>
          <w:rFonts w:ascii="Times New Roman" w:hAnsi="Times New Roman"/>
          <w:snapToGrid/>
          <w:sz w:val="22"/>
        </w:rPr>
        <w:t xml:space="preserve"> </w:t>
      </w:r>
      <w:r>
        <w:rPr>
          <w:rFonts w:ascii="Times New Roman" w:hAnsi="Times New Roman"/>
          <w:snapToGrid/>
          <w:sz w:val="22"/>
          <w:highlight w:val="lightGray"/>
        </w:rPr>
        <w:t>le responsable du traitement des données est le chef de l’unité</w:t>
      </w:r>
      <w:proofErr w:type="gramStart"/>
      <w:r>
        <w:rPr>
          <w:rFonts w:ascii="Times New Roman" w:hAnsi="Times New Roman"/>
          <w:snapToGrid/>
          <w:sz w:val="22"/>
          <w:highlight w:val="lightGray"/>
        </w:rPr>
        <w:t xml:space="preserve"> «Contrats</w:t>
      </w:r>
      <w:proofErr w:type="gramEnd"/>
      <w:r>
        <w:rPr>
          <w:rFonts w:ascii="Times New Roman" w:hAnsi="Times New Roman"/>
          <w:snapToGrid/>
          <w:sz w:val="22"/>
          <w:highlight w:val="lightGray"/>
        </w:rPr>
        <w:t xml:space="preserve"> et finances» (R4) de la DG Voisinage et négociations d’élargissement]</w:t>
      </w:r>
    </w:p>
    <w:p w14:paraId="52E0333D" w14:textId="77777777" w:rsidR="00C05EBE" w:rsidRPr="00B5440B" w:rsidRDefault="00C05EBE" w:rsidP="00C05EBE">
      <w:pPr>
        <w:spacing w:after="200" w:line="276" w:lineRule="auto"/>
        <w:ind w:left="720"/>
        <w:contextualSpacing/>
        <w:jc w:val="both"/>
        <w:rPr>
          <w:rFonts w:ascii="Times New Roman" w:eastAsia="Calibri" w:hAnsi="Times New Roman"/>
          <w:snapToGrid/>
          <w:sz w:val="22"/>
          <w:szCs w:val="22"/>
        </w:rPr>
      </w:pPr>
      <w:r>
        <w:rPr>
          <w:rFonts w:ascii="Times New Roman" w:hAnsi="Times New Roman"/>
          <w:snapToGrid/>
          <w:sz w:val="22"/>
        </w:rPr>
        <w:t>[</w:t>
      </w:r>
      <w:r>
        <w:rPr>
          <w:rFonts w:ascii="Times New Roman" w:hAnsi="Times New Roman"/>
          <w:snapToGrid/>
          <w:sz w:val="22"/>
          <w:highlight w:val="yellow"/>
        </w:rPr>
        <w:t>Pour toute autre DG</w:t>
      </w:r>
      <w:r>
        <w:rPr>
          <w:rFonts w:ascii="Times New Roman" w:hAnsi="Times New Roman"/>
          <w:snapToGrid/>
          <w:sz w:val="22"/>
        </w:rPr>
        <w:t xml:space="preserve"> </w:t>
      </w:r>
      <w:r>
        <w:rPr>
          <w:rFonts w:ascii="Times New Roman" w:hAnsi="Times New Roman"/>
          <w:snapToGrid/>
          <w:sz w:val="22"/>
          <w:highlight w:val="lightGray"/>
        </w:rPr>
        <w:t>le responsable du traitement des données est</w:t>
      </w:r>
      <w:r>
        <w:rPr>
          <w:rFonts w:ascii="Times New Roman" w:hAnsi="Times New Roman"/>
          <w:snapToGrid/>
          <w:sz w:val="22"/>
        </w:rPr>
        <w:t xml:space="preserve"> </w:t>
      </w:r>
      <w:r>
        <w:rPr>
          <w:rFonts w:ascii="Times New Roman" w:hAnsi="Times New Roman"/>
          <w:snapToGrid/>
          <w:sz w:val="22"/>
          <w:highlight w:val="yellow"/>
        </w:rPr>
        <w:t>&lt;veuillez indiquer votre responsable du traitement des données &gt;</w:t>
      </w:r>
      <w:r>
        <w:rPr>
          <w:rFonts w:ascii="Times New Roman" w:hAnsi="Times New Roman"/>
          <w:snapToGrid/>
          <w:sz w:val="22"/>
        </w:rPr>
        <w:t>.</w:t>
      </w:r>
      <w:r>
        <w:rPr>
          <w:rFonts w:ascii="Times New Roman" w:hAnsi="Times New Roman"/>
          <w:snapToGrid/>
          <w:sz w:val="22"/>
          <w:highlight w:val="lightGray"/>
        </w:rPr>
        <w:t>]</w:t>
      </w:r>
    </w:p>
    <w:p w14:paraId="7E1A9063" w14:textId="5732BBF9" w:rsidR="00C05EBE" w:rsidRPr="00B5440B" w:rsidRDefault="00AB2AA3" w:rsidP="00B5440B">
      <w:pPr>
        <w:numPr>
          <w:ilvl w:val="0"/>
          <w:numId w:val="25"/>
        </w:numPr>
        <w:spacing w:before="100" w:beforeAutospacing="1" w:after="100" w:afterAutospacing="1"/>
        <w:contextualSpacing/>
        <w:rPr>
          <w:rFonts w:ascii="Times New Roman" w:eastAsia="Calibri" w:hAnsi="Times New Roman"/>
          <w:snapToGrid/>
          <w:color w:val="0000FF"/>
          <w:sz w:val="22"/>
          <w:szCs w:val="22"/>
          <w:u w:val="single"/>
        </w:rPr>
      </w:pPr>
      <w:proofErr w:type="gramStart"/>
      <w:r w:rsidRPr="004C0500">
        <w:rPr>
          <w:rFonts w:ascii="Times New Roman" w:hAnsi="Times New Roman"/>
          <w:snapToGrid/>
          <w:sz w:val="22"/>
        </w:rPr>
        <w:t>la</w:t>
      </w:r>
      <w:proofErr w:type="gramEnd"/>
      <w:r w:rsidRPr="004C0500">
        <w:rPr>
          <w:rFonts w:ascii="Times New Roman" w:hAnsi="Times New Roman"/>
          <w:snapToGrid/>
          <w:sz w:val="22"/>
        </w:rPr>
        <w:t xml:space="preserve"> déclaration de confidentialité</w:t>
      </w:r>
      <w:r>
        <w:rPr>
          <w:rFonts w:ascii="Times New Roman" w:hAnsi="Times New Roman"/>
          <w:snapToGrid/>
          <w:sz w:val="22"/>
        </w:rPr>
        <w:t xml:space="preserve"> </w:t>
      </w:r>
      <w:r w:rsidR="00C05EBE">
        <w:rPr>
          <w:rFonts w:ascii="Times New Roman" w:hAnsi="Times New Roman"/>
          <w:snapToGrid/>
          <w:sz w:val="22"/>
        </w:rPr>
        <w:t>est disponible à l’adresse suivante:</w:t>
      </w:r>
      <w:r w:rsidR="00C05EBE">
        <w:rPr>
          <w:rFonts w:ascii="Calibri" w:hAnsi="Calibri"/>
          <w:snapToGrid/>
          <w:sz w:val="22"/>
        </w:rPr>
        <w:t xml:space="preserve"> </w:t>
      </w:r>
      <w:hyperlink r:id="rId13" w:anchor="Annexes-AnnexesA(Ch.2):G%C3%A9n%C3%A9ral" w:history="1">
        <w:r w:rsidR="00C05EBE">
          <w:rPr>
            <w:rFonts w:ascii="Times New Roman" w:hAnsi="Times New Roman"/>
            <w:snapToGrid/>
            <w:color w:val="0000FF"/>
            <w:sz w:val="22"/>
            <w:u w:val="single"/>
          </w:rPr>
          <w:t>https://wikis.ec.europa.eu/display/ExactExternalWikiFR/Annexes#Annexes-AnnexesA(Ch.2):G%C3%A9n%C3%A9ral</w:t>
        </w:r>
      </w:hyperlink>
      <w:r w:rsidR="00C05EBE">
        <w:rPr>
          <w:rFonts w:ascii="Times New Roman" w:hAnsi="Times New Roman"/>
          <w:snapToGrid/>
          <w:color w:val="0000FF"/>
          <w:sz w:val="22"/>
          <w:highlight w:val="yellow"/>
          <w:u w:val="single"/>
        </w:rPr>
        <w:t>]</w:t>
      </w:r>
      <w:r w:rsidR="00C05EBE">
        <w:t>.</w:t>
      </w:r>
    </w:p>
    <w:p w14:paraId="5C220F03" w14:textId="28E6FA98" w:rsidR="00C05EBE" w:rsidRPr="00B5440B" w:rsidRDefault="0043240C" w:rsidP="00C05EBE">
      <w:pPr>
        <w:spacing w:before="100" w:beforeAutospacing="1" w:after="100" w:afterAutospacing="1"/>
        <w:jc w:val="both"/>
        <w:rPr>
          <w:rFonts w:ascii="Times New Roman" w:hAnsi="Times New Roman"/>
          <w:sz w:val="22"/>
          <w:szCs w:val="22"/>
        </w:rPr>
      </w:pPr>
      <w:r>
        <w:rPr>
          <w:rFonts w:ascii="Times New Roman" w:hAnsi="Times New Roman"/>
          <w:sz w:val="22"/>
          <w:highlight w:val="yellow"/>
        </w:rPr>
        <w:t xml:space="preserve">[Pour les marchés en gestion indirecte, insérez ce qui </w:t>
      </w:r>
      <w:proofErr w:type="gramStart"/>
      <w:r>
        <w:rPr>
          <w:rFonts w:ascii="Times New Roman" w:hAnsi="Times New Roman"/>
          <w:sz w:val="22"/>
          <w:highlight w:val="yellow"/>
        </w:rPr>
        <w:t>suit:</w:t>
      </w:r>
      <w:proofErr w:type="gramEnd"/>
    </w:p>
    <w:p w14:paraId="21A6D968" w14:textId="77777777" w:rsidR="00C05EBE" w:rsidRPr="00B5440B" w:rsidRDefault="00C05EBE" w:rsidP="00C05EBE">
      <w:pPr>
        <w:jc w:val="both"/>
        <w:rPr>
          <w:rFonts w:ascii="Times New Roman" w:hAnsi="Times New Roman"/>
          <w:sz w:val="22"/>
          <w:szCs w:val="22"/>
          <w:highlight w:val="lightGray"/>
        </w:rPr>
      </w:pPr>
      <w:r>
        <w:rPr>
          <w:rFonts w:ascii="Times New Roman" w:hAnsi="Times New Roman"/>
          <w:sz w:val="22"/>
        </w:rPr>
        <w:t xml:space="preserve">[Aux fins de l’article 44 des </w:t>
      </w:r>
      <w:r>
        <w:rPr>
          <w:rFonts w:ascii="Times New Roman" w:hAnsi="Times New Roman"/>
          <w:sz w:val="22"/>
          <w:highlight w:val="lightGray"/>
        </w:rPr>
        <w:t xml:space="preserve">conditions générales, pour la partie des données transférées par le pouvoir adjudicateur à la Commission </w:t>
      </w:r>
      <w:proofErr w:type="gramStart"/>
      <w:r>
        <w:rPr>
          <w:rFonts w:ascii="Times New Roman" w:hAnsi="Times New Roman"/>
          <w:sz w:val="22"/>
          <w:highlight w:val="lightGray"/>
        </w:rPr>
        <w:t>européenne:</w:t>
      </w:r>
      <w:proofErr w:type="gramEnd"/>
    </w:p>
    <w:p w14:paraId="18EF332A" w14:textId="53D1BD65" w:rsidR="00C05EBE" w:rsidRPr="00B5440B" w:rsidRDefault="00C05EBE" w:rsidP="00B5440B">
      <w:pPr>
        <w:ind w:left="426"/>
        <w:jc w:val="both"/>
        <w:rPr>
          <w:rFonts w:ascii="Times New Roman" w:hAnsi="Times New Roman"/>
          <w:sz w:val="22"/>
          <w:szCs w:val="22"/>
        </w:rPr>
      </w:pPr>
      <w:r>
        <w:rPr>
          <w:rFonts w:ascii="Times New Roman" w:hAnsi="Times New Roman"/>
          <w:sz w:val="22"/>
          <w:highlight w:val="lightGray"/>
        </w:rPr>
        <w:lastRenderedPageBreak/>
        <w:t>a)</w:t>
      </w:r>
      <w:r>
        <w:rPr>
          <w:rFonts w:ascii="Times New Roman" w:hAnsi="Times New Roman"/>
          <w:sz w:val="22"/>
          <w:highlight w:val="lightGray"/>
        </w:rPr>
        <w:tab/>
        <w:t>le responsable du traitement des données à caractère personnel effectué au sein de la Commission est</w:t>
      </w:r>
    </w:p>
    <w:p w14:paraId="2B8A9791" w14:textId="77777777" w:rsidR="00C05EBE" w:rsidRPr="00B5440B" w:rsidRDefault="00C05EBE" w:rsidP="00B5440B">
      <w:pPr>
        <w:ind w:left="709"/>
        <w:jc w:val="both"/>
        <w:rPr>
          <w:rFonts w:ascii="Times New Roman" w:hAnsi="Times New Roman"/>
          <w:sz w:val="22"/>
          <w:szCs w:val="22"/>
        </w:rPr>
      </w:pPr>
      <w:r>
        <w:rPr>
          <w:rFonts w:ascii="Times New Roman" w:hAnsi="Times New Roman"/>
          <w:sz w:val="22"/>
        </w:rPr>
        <w:t>[</w:t>
      </w:r>
      <w:r>
        <w:rPr>
          <w:rFonts w:ascii="Times New Roman" w:hAnsi="Times New Roman"/>
          <w:sz w:val="22"/>
          <w:highlight w:val="yellow"/>
        </w:rPr>
        <w:t>Pour la DG INTPA</w:t>
      </w:r>
      <w:r>
        <w:rPr>
          <w:rFonts w:ascii="Times New Roman" w:hAnsi="Times New Roman"/>
          <w:sz w:val="22"/>
        </w:rPr>
        <w:t xml:space="preserve"> </w:t>
      </w:r>
      <w:r>
        <w:rPr>
          <w:rFonts w:ascii="Times New Roman" w:hAnsi="Times New Roman"/>
          <w:sz w:val="22"/>
          <w:highlight w:val="lightGray"/>
        </w:rPr>
        <w:t>le chef de l’unité</w:t>
      </w:r>
      <w:proofErr w:type="gramStart"/>
      <w:r>
        <w:rPr>
          <w:rFonts w:ascii="Times New Roman" w:hAnsi="Times New Roman"/>
          <w:sz w:val="22"/>
          <w:highlight w:val="lightGray"/>
        </w:rPr>
        <w:t xml:space="preserve"> «Affaires</w:t>
      </w:r>
      <w:proofErr w:type="gramEnd"/>
      <w:r>
        <w:rPr>
          <w:rFonts w:ascii="Times New Roman" w:hAnsi="Times New Roman"/>
          <w:sz w:val="22"/>
          <w:highlight w:val="lightGray"/>
        </w:rPr>
        <w:t xml:space="preserve"> juridiques» de la DG Partenariats internationaux</w:t>
      </w:r>
      <w:r>
        <w:rPr>
          <w:rFonts w:ascii="Times New Roman" w:hAnsi="Times New Roman"/>
          <w:sz w:val="22"/>
        </w:rPr>
        <w:t>.]</w:t>
      </w:r>
    </w:p>
    <w:p w14:paraId="7EE57030" w14:textId="77777777" w:rsidR="00C05EBE" w:rsidRPr="00B5440B" w:rsidRDefault="00C05EBE" w:rsidP="00B5440B">
      <w:pPr>
        <w:ind w:left="709"/>
        <w:jc w:val="both"/>
        <w:rPr>
          <w:rFonts w:ascii="Times New Roman" w:hAnsi="Times New Roman"/>
          <w:sz w:val="22"/>
          <w:szCs w:val="22"/>
        </w:rPr>
      </w:pPr>
      <w:r>
        <w:rPr>
          <w:rFonts w:ascii="Times New Roman" w:hAnsi="Times New Roman"/>
          <w:sz w:val="22"/>
          <w:highlight w:val="yellow"/>
        </w:rPr>
        <w:t>[Pour la DG NEAR</w:t>
      </w:r>
      <w:r>
        <w:rPr>
          <w:rFonts w:ascii="Times New Roman" w:hAnsi="Times New Roman"/>
          <w:sz w:val="22"/>
        </w:rPr>
        <w:t xml:space="preserve"> </w:t>
      </w:r>
      <w:r>
        <w:rPr>
          <w:rFonts w:ascii="Times New Roman" w:hAnsi="Times New Roman"/>
          <w:sz w:val="22"/>
          <w:highlight w:val="lightGray"/>
        </w:rPr>
        <w:t>le chef de l’unité</w:t>
      </w:r>
      <w:proofErr w:type="gramStart"/>
      <w:r>
        <w:rPr>
          <w:rFonts w:ascii="Times New Roman" w:hAnsi="Times New Roman"/>
          <w:sz w:val="22"/>
          <w:highlight w:val="lightGray"/>
        </w:rPr>
        <w:t xml:space="preserve"> «Contrats</w:t>
      </w:r>
      <w:proofErr w:type="gramEnd"/>
      <w:r>
        <w:rPr>
          <w:rFonts w:ascii="Times New Roman" w:hAnsi="Times New Roman"/>
          <w:sz w:val="22"/>
          <w:highlight w:val="lightGray"/>
        </w:rPr>
        <w:t xml:space="preserve"> et finances» (R4) de la DG Voisinage et négociations d’élargissement]</w:t>
      </w:r>
      <w:r>
        <w:rPr>
          <w:rFonts w:ascii="Times New Roman" w:hAnsi="Times New Roman"/>
          <w:sz w:val="22"/>
        </w:rPr>
        <w:t>[</w:t>
      </w:r>
      <w:r>
        <w:rPr>
          <w:rFonts w:ascii="Times New Roman" w:hAnsi="Times New Roman"/>
          <w:sz w:val="22"/>
          <w:highlight w:val="yellow"/>
        </w:rPr>
        <w:t>Pour toute autre DG</w:t>
      </w:r>
      <w:r>
        <w:rPr>
          <w:rFonts w:ascii="Times New Roman" w:hAnsi="Times New Roman"/>
          <w:sz w:val="22"/>
        </w:rPr>
        <w:t xml:space="preserve"> </w:t>
      </w:r>
      <w:r>
        <w:rPr>
          <w:rFonts w:ascii="Times New Roman" w:hAnsi="Times New Roman"/>
          <w:sz w:val="22"/>
          <w:highlight w:val="yellow"/>
        </w:rPr>
        <w:t>&lt;veuillez indiquer votre responsable du traitement des données &gt;</w:t>
      </w:r>
      <w:r>
        <w:rPr>
          <w:rFonts w:ascii="Times New Roman" w:hAnsi="Times New Roman"/>
          <w:sz w:val="22"/>
        </w:rPr>
        <w:t>.</w:t>
      </w:r>
      <w:r>
        <w:rPr>
          <w:rFonts w:ascii="Times New Roman" w:hAnsi="Times New Roman"/>
          <w:sz w:val="22"/>
          <w:highlight w:val="lightGray"/>
        </w:rPr>
        <w:t>]</w:t>
      </w:r>
    </w:p>
    <w:p w14:paraId="4CB26B0B" w14:textId="50622BBA" w:rsidR="00C05EBE" w:rsidRPr="0051770F" w:rsidRDefault="00C05EBE" w:rsidP="00B5440B">
      <w:pPr>
        <w:spacing w:before="100" w:beforeAutospacing="1" w:after="100" w:afterAutospacing="1"/>
        <w:ind w:left="709" w:hanging="425"/>
        <w:rPr>
          <w:rFonts w:ascii="Times New Roman" w:hAnsi="Times New Roman"/>
          <w:color w:val="0563C1"/>
          <w:sz w:val="22"/>
          <w:szCs w:val="22"/>
          <w:u w:val="single"/>
        </w:rPr>
      </w:pPr>
      <w:r>
        <w:rPr>
          <w:rFonts w:ascii="Times New Roman" w:hAnsi="Times New Roman"/>
          <w:sz w:val="22"/>
        </w:rPr>
        <w:t>b)</w:t>
      </w:r>
      <w:r>
        <w:rPr>
          <w:rFonts w:ascii="Times New Roman" w:hAnsi="Times New Roman"/>
          <w:sz w:val="22"/>
        </w:rPr>
        <w:tab/>
      </w:r>
      <w:r w:rsidR="00AB2AA3" w:rsidRPr="004C0500">
        <w:rPr>
          <w:rFonts w:ascii="Times New Roman" w:hAnsi="Times New Roman"/>
          <w:sz w:val="22"/>
        </w:rPr>
        <w:t>la déclaration de confidentialité</w:t>
      </w:r>
      <w:r w:rsidR="00AB2AA3">
        <w:rPr>
          <w:rFonts w:ascii="Times New Roman" w:hAnsi="Times New Roman"/>
          <w:sz w:val="22"/>
        </w:rPr>
        <w:t xml:space="preserve"> </w:t>
      </w:r>
      <w:r>
        <w:rPr>
          <w:rFonts w:ascii="Times New Roman" w:hAnsi="Times New Roman"/>
          <w:sz w:val="22"/>
        </w:rPr>
        <w:t xml:space="preserve">est disponible à l’adresse </w:t>
      </w:r>
      <w:proofErr w:type="gramStart"/>
      <w:r>
        <w:rPr>
          <w:rFonts w:ascii="Times New Roman" w:hAnsi="Times New Roman"/>
          <w:sz w:val="22"/>
        </w:rPr>
        <w:t>suivante:</w:t>
      </w:r>
      <w:proofErr w:type="gramEnd"/>
      <w:r>
        <w:rPr>
          <w:rFonts w:ascii="Times New Roman" w:hAnsi="Times New Roman"/>
          <w:sz w:val="22"/>
        </w:rPr>
        <w:t xml:space="preserve"> </w:t>
      </w:r>
      <w:hyperlink r:id="rId14" w:anchor="Annexes-AnnexesA(Ch.2):G%C3%A9n%C3%A9ral" w:history="1">
        <w:r>
          <w:rPr>
            <w:rFonts w:ascii="Times New Roman" w:hAnsi="Times New Roman"/>
            <w:color w:val="0000FF"/>
            <w:sz w:val="22"/>
            <w:u w:val="single"/>
          </w:rPr>
          <w:t>https://wikis.ec.europa.eu/display/ExactExternalWikiFR/Annexes#Annexes-AnnexesA(Ch.2):G%C3%A9n%C3%A9ral</w:t>
        </w:r>
      </w:hyperlink>
      <w:r>
        <w:rPr>
          <w:rFonts w:ascii="Times New Roman" w:hAnsi="Times New Roman"/>
          <w:color w:val="0000FF"/>
          <w:sz w:val="22"/>
          <w:u w:val="single"/>
        </w:rPr>
        <w:t>]</w:t>
      </w:r>
      <w:r>
        <w:t>.</w:t>
      </w:r>
    </w:p>
    <w:p w14:paraId="5F3FDACE" w14:textId="1CC39EBA" w:rsidR="009F7E6A" w:rsidRPr="00F4288C" w:rsidRDefault="009F7E6A" w:rsidP="00B5440B">
      <w:pPr>
        <w:ind w:left="567" w:hanging="567"/>
        <w:jc w:val="both"/>
        <w:rPr>
          <w:rFonts w:ascii="Times New Roman" w:hAnsi="Times New Roman"/>
          <w:sz w:val="22"/>
          <w:szCs w:val="22"/>
          <w:highlight w:val="lightGray"/>
        </w:rPr>
      </w:pPr>
      <w:r>
        <w:rPr>
          <w:rFonts w:ascii="Times New Roman" w:hAnsi="Times New Roman"/>
          <w:sz w:val="22"/>
        </w:rPr>
        <w:t>[</w:t>
      </w:r>
      <w:r>
        <w:rPr>
          <w:rFonts w:ascii="Times New Roman" w:hAnsi="Times New Roman"/>
          <w:sz w:val="22"/>
          <w:highlight w:val="lightGray"/>
        </w:rPr>
        <w:t>1.</w:t>
      </w:r>
      <w:r>
        <w:rPr>
          <w:rFonts w:ascii="Times New Roman" w:hAnsi="Times New Roman"/>
          <w:sz w:val="22"/>
          <w:highlight w:val="lightGray"/>
        </w:rPr>
        <w:tab/>
        <w:t>Le traitement des données à caractère personnel liées à l’exécution du marché par le pouvoir adjudicateur se déroule conformément à la législation nationale de l’État du pouvoir adjudicateur et aux dispositions de la convention de financement correspondante.</w:t>
      </w:r>
    </w:p>
    <w:p w14:paraId="2FB9F325" w14:textId="17ACFF7E" w:rsidR="009F7E6A" w:rsidRPr="00F4288C" w:rsidRDefault="009F7E6A" w:rsidP="00B5440B">
      <w:pPr>
        <w:ind w:left="567" w:hanging="567"/>
        <w:jc w:val="both"/>
        <w:rPr>
          <w:rFonts w:ascii="Times New Roman" w:hAnsi="Times New Roman"/>
          <w:sz w:val="22"/>
          <w:szCs w:val="22"/>
          <w:u w:val="single"/>
        </w:rPr>
      </w:pPr>
      <w:r>
        <w:rPr>
          <w:rFonts w:ascii="Times New Roman" w:hAnsi="Times New Roman"/>
          <w:sz w:val="22"/>
          <w:highlight w:val="lightGray"/>
        </w:rPr>
        <w:t>2.</w:t>
      </w:r>
      <w:r>
        <w:rPr>
          <w:rFonts w:ascii="Times New Roman" w:hAnsi="Times New Roman"/>
          <w:sz w:val="22"/>
          <w:highlight w:val="lightGray"/>
        </w:rPr>
        <w:tab/>
        <w:t>Dans la mesure où le marché couvre une action financée par l’Union européenne, le pouvoir adjudicateur peut partager avec la Commission européenne les communications relatives à l’exécution du marché. Ces échanges sont faits à la Commission, uniquement dans le but de permettre à cette dernière d’exercer ses droits et obligations en vertu du cadre législatif applicable et de la convention de financement avec le pays partenaire - le pouvoir adjudicateur. Les échanges peuvent impliquer des transferts de données à caractère personnel (telles que les noms, les coordonnées, les signatures et les CV) de personnes physiques participant à l’exécution du marché (telles que les contractants, le personnel, les experts, les stagiaires, les sous-traitants, les assureurs, les garants, les auditeurs et les conseillers juridiques). Dans les cas où le contractant traite des données à caractère personnel dans le cadre de l’exécution du marché, il informe en conséquence les personnes concernées de la transmission éventuelle de leurs données à la Commission. Toute donnée à caractère personnel transmise à la Commission sera traitée par cette dernière conformément aux dispositions du 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w:t>
      </w:r>
      <w:r w:rsidRPr="00F4288C">
        <w:rPr>
          <w:rStyle w:val="FootnoteReference"/>
          <w:rFonts w:ascii="Times New Roman" w:hAnsi="Times New Roman"/>
          <w:sz w:val="22"/>
          <w:szCs w:val="22"/>
          <w:highlight w:val="lightGray"/>
        </w:rPr>
        <w:footnoteReference w:id="8"/>
      </w:r>
      <w:r>
        <w:rPr>
          <w:rFonts w:ascii="Times New Roman" w:hAnsi="Times New Roman"/>
          <w:sz w:val="22"/>
          <w:highlight w:val="lightGray"/>
        </w:rPr>
        <w:t xml:space="preserve"> et comme détaillé dans la déclaration de confidentialité disponible dans </w:t>
      </w:r>
      <w:proofErr w:type="spellStart"/>
      <w:r>
        <w:rPr>
          <w:rFonts w:ascii="Times New Roman" w:hAnsi="Times New Roman"/>
          <w:sz w:val="22"/>
          <w:highlight w:val="lightGray"/>
        </w:rPr>
        <w:t>ePRAG</w:t>
      </w:r>
      <w:proofErr w:type="spellEnd"/>
      <w:r>
        <w:rPr>
          <w:rFonts w:ascii="Times New Roman" w:hAnsi="Times New Roman"/>
          <w:sz w:val="22"/>
          <w:highlight w:val="lightGray"/>
        </w:rPr>
        <w:t>.</w:t>
      </w:r>
      <w:r>
        <w:rPr>
          <w:rFonts w:ascii="Times New Roman" w:hAnsi="Times New Roman"/>
          <w:sz w:val="22"/>
          <w:u w:val="single"/>
        </w:rPr>
        <w:t>]]</w:t>
      </w:r>
    </w:p>
    <w:p w14:paraId="0BB191E9" w14:textId="62D247E8" w:rsidR="00B605B6" w:rsidRDefault="00B605B6" w:rsidP="00872DA7">
      <w:pPr>
        <w:pStyle w:val="ListNumber"/>
        <w:numPr>
          <w:ilvl w:val="0"/>
          <w:numId w:val="0"/>
        </w:numPr>
        <w:spacing w:before="240"/>
        <w:ind w:left="1134" w:hanging="1134"/>
        <w:rPr>
          <w:b/>
          <w:szCs w:val="24"/>
        </w:rPr>
      </w:pPr>
      <w:r>
        <w:rPr>
          <w:b/>
        </w:rPr>
        <w:t>Article 45</w:t>
      </w:r>
      <w:r>
        <w:rPr>
          <w:b/>
          <w:highlight w:val="lightGray"/>
        </w:rPr>
        <w:tab/>
      </w:r>
      <w:r>
        <w:rPr>
          <w:b/>
          <w:highlight w:val="yellow"/>
        </w:rPr>
        <w:t>Autres clauses supplémentaires</w:t>
      </w:r>
    </w:p>
    <w:p w14:paraId="2A95C479" w14:textId="2E048EA1" w:rsidR="0051770F" w:rsidRDefault="0051770F" w:rsidP="0043240C">
      <w:pPr>
        <w:ind w:left="567" w:hanging="567"/>
        <w:jc w:val="both"/>
        <w:outlineLvl w:val="0"/>
        <w:rPr>
          <w:rFonts w:ascii="Times New Roman" w:hAnsi="Times New Roman"/>
          <w:sz w:val="22"/>
          <w:szCs w:val="22"/>
          <w:highlight w:val="yellow"/>
        </w:rPr>
      </w:pPr>
      <w:bookmarkStart w:id="35" w:name="_Hlk133417988"/>
      <w:r>
        <w:rPr>
          <w:rFonts w:ascii="Times New Roman" w:hAnsi="Times New Roman"/>
          <w:sz w:val="22"/>
          <w:highlight w:val="yellow"/>
        </w:rPr>
        <w:t>&lt;Ajouter les dispositions approuvées par les services compétents de la Commission européenne&gt;</w:t>
      </w:r>
    </w:p>
    <w:p w14:paraId="58B8663D" w14:textId="5E33F0ED" w:rsidR="0043240C" w:rsidRPr="0043240C" w:rsidRDefault="0051770F" w:rsidP="0043240C">
      <w:pPr>
        <w:ind w:left="567" w:hanging="567"/>
        <w:jc w:val="both"/>
        <w:outlineLvl w:val="0"/>
        <w:rPr>
          <w:rFonts w:ascii="Times New Roman" w:hAnsi="Times New Roman"/>
          <w:sz w:val="22"/>
          <w:szCs w:val="22"/>
        </w:rPr>
      </w:pPr>
      <w:r>
        <w:rPr>
          <w:rFonts w:ascii="Times New Roman" w:hAnsi="Times New Roman"/>
          <w:sz w:val="22"/>
          <w:highlight w:val="yellow"/>
        </w:rPr>
        <w:t xml:space="preserve">[Si nécessaire et après avoir obtenu l’approbation/une dérogation des services </w:t>
      </w:r>
      <w:proofErr w:type="gramStart"/>
      <w:r>
        <w:rPr>
          <w:rFonts w:ascii="Times New Roman" w:hAnsi="Times New Roman"/>
          <w:sz w:val="22"/>
          <w:highlight w:val="yellow"/>
        </w:rPr>
        <w:t>compétents:</w:t>
      </w:r>
      <w:proofErr w:type="gramEnd"/>
    </w:p>
    <w:p w14:paraId="5CDABFED" w14:textId="5FA66A45" w:rsidR="0051770F" w:rsidRDefault="0043240C" w:rsidP="0043240C">
      <w:pPr>
        <w:jc w:val="both"/>
        <w:rPr>
          <w:rFonts w:ascii="Times New Roman" w:hAnsi="Times New Roman"/>
          <w:sz w:val="22"/>
          <w:szCs w:val="22"/>
        </w:rPr>
      </w:pPr>
      <w:r>
        <w:rPr>
          <w:rFonts w:ascii="Times New Roman" w:hAnsi="Times New Roman"/>
          <w:sz w:val="22"/>
          <w:highlight w:val="lightGray"/>
        </w:rPr>
        <w:t xml:space="preserve">Les conditions suivantes s’appliquent au </w:t>
      </w:r>
      <w:proofErr w:type="gramStart"/>
      <w:r>
        <w:rPr>
          <w:rFonts w:ascii="Times New Roman" w:hAnsi="Times New Roman"/>
          <w:sz w:val="22"/>
          <w:highlight w:val="lightGray"/>
        </w:rPr>
        <w:t>marché</w:t>
      </w:r>
      <w:r>
        <w:rPr>
          <w:rFonts w:ascii="Times New Roman" w:hAnsi="Times New Roman"/>
          <w:sz w:val="22"/>
        </w:rPr>
        <w:t>:</w:t>
      </w:r>
      <w:proofErr w:type="gramEnd"/>
      <w:r>
        <w:rPr>
          <w:rFonts w:ascii="Times New Roman" w:hAnsi="Times New Roman"/>
          <w:sz w:val="22"/>
        </w:rPr>
        <w:t xml:space="preserve"> </w:t>
      </w:r>
    </w:p>
    <w:p w14:paraId="6755DC65" w14:textId="0E47CF3B" w:rsidR="0043240C" w:rsidRDefault="0051770F" w:rsidP="0043240C">
      <w:pPr>
        <w:jc w:val="both"/>
        <w:rPr>
          <w:rFonts w:ascii="Times New Roman" w:hAnsi="Times New Roman"/>
          <w:sz w:val="22"/>
          <w:szCs w:val="22"/>
        </w:rPr>
      </w:pPr>
      <w:r>
        <w:rPr>
          <w:rFonts w:ascii="Times New Roman" w:hAnsi="Times New Roman"/>
          <w:sz w:val="22"/>
          <w:highlight w:val="lightGray"/>
        </w:rPr>
        <w:t>Par dérogation à l’article…</w:t>
      </w:r>
      <w:r>
        <w:rPr>
          <w:rFonts w:ascii="Times New Roman" w:hAnsi="Times New Roman"/>
          <w:sz w:val="22"/>
        </w:rPr>
        <w:t>]</w:t>
      </w:r>
      <w:bookmarkEnd w:id="35"/>
    </w:p>
    <w:p w14:paraId="3637455A" w14:textId="5245A7B3" w:rsidR="00B605B6" w:rsidRDefault="0043240C" w:rsidP="0011156A">
      <w:pPr>
        <w:pStyle w:val="ListNumber"/>
        <w:numPr>
          <w:ilvl w:val="0"/>
          <w:numId w:val="0"/>
        </w:numPr>
        <w:rPr>
          <w:sz w:val="22"/>
          <w:szCs w:val="22"/>
        </w:rPr>
      </w:pPr>
      <w:r>
        <w:rPr>
          <w:sz w:val="22"/>
        </w:rPr>
        <w:t>]</w:t>
      </w:r>
    </w:p>
    <w:p w14:paraId="016C5FE5" w14:textId="77777777" w:rsidR="001B55AC" w:rsidRPr="003D6B6C" w:rsidRDefault="001B55AC" w:rsidP="00792240">
      <w:pPr>
        <w:pStyle w:val="ListNumber"/>
        <w:numPr>
          <w:ilvl w:val="0"/>
          <w:numId w:val="0"/>
        </w:numPr>
        <w:spacing w:before="360" w:after="100" w:afterAutospacing="1"/>
        <w:jc w:val="center"/>
        <w:rPr>
          <w:sz w:val="22"/>
          <w:szCs w:val="22"/>
        </w:rPr>
      </w:pPr>
      <w:r>
        <w:rPr>
          <w:sz w:val="22"/>
        </w:rPr>
        <w:t>* * *</w:t>
      </w:r>
    </w:p>
    <w:sectPr w:rsidR="001B55AC" w:rsidRPr="003D6B6C" w:rsidSect="00B5440B">
      <w:footerReference w:type="even" r:id="rId15"/>
      <w:footerReference w:type="default" r:id="rId16"/>
      <w:footerReference w:type="first" r:id="rId17"/>
      <w:footnotePr>
        <w:numRestart w:val="eachPage"/>
      </w:footnotePr>
      <w:pgSz w:w="11906" w:h="16838"/>
      <w:pgMar w:top="1440" w:right="1440" w:bottom="1440" w:left="851" w:header="720" w:footer="568" w:gutter="56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62C48" w14:textId="77777777" w:rsidR="00F215D8" w:rsidRPr="006A5F84" w:rsidRDefault="00F215D8">
      <w:r w:rsidRPr="006A5F84">
        <w:separator/>
      </w:r>
    </w:p>
  </w:endnote>
  <w:endnote w:type="continuationSeparator" w:id="0">
    <w:p w14:paraId="568A3100" w14:textId="77777777" w:rsidR="00F215D8" w:rsidRPr="006A5F84" w:rsidRDefault="00F215D8">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herit">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3F24C" w14:textId="77777777" w:rsidR="00117ADA" w:rsidRDefault="00117ADA"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43E34293" w14:textId="77777777" w:rsidR="00117ADA" w:rsidRDefault="00117ADA" w:rsidP="004778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AD2995" w14:textId="441442BF" w:rsidR="007E36E3" w:rsidRPr="00FE689C" w:rsidRDefault="00CA1E77" w:rsidP="007E36E3">
    <w:pPr>
      <w:pStyle w:val="Footer"/>
      <w:tabs>
        <w:tab w:val="clear" w:pos="4320"/>
        <w:tab w:val="clear" w:pos="8640"/>
        <w:tab w:val="right" w:pos="8647"/>
      </w:tabs>
      <w:spacing w:after="0"/>
      <w:ind w:right="6"/>
      <w:rPr>
        <w:rStyle w:val="PageNumber"/>
        <w:rFonts w:ascii="Times New Roman" w:hAnsi="Times New Roman"/>
        <w:sz w:val="18"/>
        <w:szCs w:val="18"/>
      </w:rPr>
    </w:pPr>
    <w:r>
      <w:rPr>
        <w:rFonts w:ascii="Times New Roman" w:hAnsi="Times New Roman"/>
        <w:b/>
        <w:sz w:val="18"/>
      </w:rPr>
      <w:t>202</w:t>
    </w:r>
    <w:r w:rsidR="00792240">
      <w:rPr>
        <w:rFonts w:ascii="Times New Roman" w:hAnsi="Times New Roman"/>
        <w:b/>
        <w:sz w:val="18"/>
      </w:rPr>
      <w:t>5</w:t>
    </w:r>
    <w:r>
      <w:rPr>
        <w:rFonts w:ascii="Times New Roman" w:hAnsi="Times New Roman"/>
        <w:sz w:val="18"/>
      </w:rPr>
      <w:tab/>
    </w:r>
    <w:r>
      <w:rPr>
        <w:rStyle w:val="PageNumber"/>
        <w:rFonts w:ascii="Times New Roman" w:hAnsi="Times New Roman"/>
        <w:sz w:val="18"/>
      </w:rPr>
      <w:t>Page </w:t>
    </w:r>
    <w:r w:rsidR="007E36E3" w:rsidRPr="009423FB">
      <w:rPr>
        <w:rStyle w:val="PageNumber"/>
        <w:rFonts w:ascii="Times New Roman" w:hAnsi="Times New Roman"/>
        <w:sz w:val="18"/>
      </w:rPr>
      <w:fldChar w:fldCharType="begin"/>
    </w:r>
    <w:r w:rsidR="007E36E3" w:rsidRPr="00FE689C">
      <w:rPr>
        <w:rStyle w:val="PageNumber"/>
        <w:rFonts w:ascii="Times New Roman" w:hAnsi="Times New Roman"/>
        <w:sz w:val="18"/>
      </w:rPr>
      <w:instrText xml:space="preserve"> PAGE </w:instrText>
    </w:r>
    <w:r w:rsidR="007E36E3" w:rsidRPr="009423FB">
      <w:rPr>
        <w:rStyle w:val="PageNumber"/>
        <w:rFonts w:ascii="Times New Roman" w:hAnsi="Times New Roman"/>
        <w:sz w:val="18"/>
      </w:rPr>
      <w:fldChar w:fldCharType="separate"/>
    </w:r>
    <w:r w:rsidR="003E5CA0">
      <w:rPr>
        <w:rStyle w:val="PageNumber"/>
        <w:rFonts w:ascii="Times New Roman" w:hAnsi="Times New Roman"/>
        <w:sz w:val="18"/>
      </w:rPr>
      <w:t>10</w:t>
    </w:r>
    <w:r w:rsidR="007E36E3" w:rsidRPr="009423FB">
      <w:rPr>
        <w:rStyle w:val="PageNumber"/>
        <w:rFonts w:ascii="Times New Roman" w:hAnsi="Times New Roman"/>
        <w:sz w:val="18"/>
      </w:rPr>
      <w:fldChar w:fldCharType="end"/>
    </w:r>
    <w:r>
      <w:rPr>
        <w:rStyle w:val="PageNumber"/>
        <w:rFonts w:ascii="Times New Roman" w:hAnsi="Times New Roman"/>
        <w:sz w:val="18"/>
      </w:rPr>
      <w:t xml:space="preserve"> sur </w:t>
    </w:r>
    <w:r w:rsidR="007E36E3" w:rsidRPr="009423FB">
      <w:rPr>
        <w:rStyle w:val="PageNumber"/>
        <w:rFonts w:ascii="Times New Roman" w:hAnsi="Times New Roman"/>
        <w:sz w:val="18"/>
      </w:rPr>
      <w:fldChar w:fldCharType="begin"/>
    </w:r>
    <w:r w:rsidR="007E36E3" w:rsidRPr="00FE689C">
      <w:rPr>
        <w:rStyle w:val="PageNumber"/>
        <w:rFonts w:ascii="Times New Roman" w:hAnsi="Times New Roman"/>
        <w:sz w:val="18"/>
      </w:rPr>
      <w:instrText xml:space="preserve"> NUMPAGES </w:instrText>
    </w:r>
    <w:r w:rsidR="007E36E3" w:rsidRPr="009423FB">
      <w:rPr>
        <w:rStyle w:val="PageNumber"/>
        <w:rFonts w:ascii="Times New Roman" w:hAnsi="Times New Roman"/>
        <w:sz w:val="18"/>
      </w:rPr>
      <w:fldChar w:fldCharType="separate"/>
    </w:r>
    <w:r w:rsidR="003E5CA0">
      <w:rPr>
        <w:rStyle w:val="PageNumber"/>
        <w:rFonts w:ascii="Times New Roman" w:hAnsi="Times New Roman"/>
        <w:sz w:val="18"/>
      </w:rPr>
      <w:t>14</w:t>
    </w:r>
    <w:r w:rsidR="007E36E3" w:rsidRPr="009423FB">
      <w:rPr>
        <w:rStyle w:val="PageNumber"/>
        <w:rFonts w:ascii="Times New Roman" w:hAnsi="Times New Roman"/>
        <w:sz w:val="18"/>
      </w:rPr>
      <w:fldChar w:fldCharType="end"/>
    </w:r>
  </w:p>
  <w:p w14:paraId="32214240" w14:textId="60EEF0E1" w:rsidR="00117ADA" w:rsidRPr="007E36E3" w:rsidRDefault="008E007A" w:rsidP="008E007A">
    <w:pPr>
      <w:spacing w:before="0" w:after="0"/>
      <w:rPr>
        <w:rFonts w:ascii="Times New Roman" w:hAnsi="Times New Roman"/>
        <w:sz w:val="18"/>
        <w:szCs w:val="18"/>
      </w:rPr>
    </w:pPr>
    <w:r>
      <w:rPr>
        <w:rFonts w:ascii="Times New Roman" w:hAnsi="Times New Roman"/>
        <w:sz w:val="18"/>
      </w:rPr>
      <w:fldChar w:fldCharType="begin"/>
    </w:r>
    <w:r>
      <w:rPr>
        <w:rFonts w:ascii="Times New Roman" w:hAnsi="Times New Roman"/>
        <w:sz w:val="18"/>
      </w:rPr>
      <w:instrText xml:space="preserve"> FILENAME   \* MERGEFORMAT </w:instrText>
    </w:r>
    <w:r>
      <w:rPr>
        <w:rFonts w:ascii="Times New Roman" w:hAnsi="Times New Roman"/>
        <w:sz w:val="18"/>
      </w:rPr>
      <w:fldChar w:fldCharType="separate"/>
    </w:r>
    <w:r w:rsidR="00792240">
      <w:rPr>
        <w:rFonts w:ascii="Times New Roman" w:hAnsi="Times New Roman"/>
        <w:noProof/>
        <w:sz w:val="18"/>
      </w:rPr>
      <w:t>c4d_specialconditions_fr.docx</w:t>
    </w:r>
    <w:r>
      <w:rPr>
        <w:rFonts w:ascii="Times New Roman" w:hAnsi="Times New Roman"/>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F36AF" w14:textId="77777777" w:rsidR="00117ADA" w:rsidRPr="006A5F84" w:rsidRDefault="00117ADA" w:rsidP="0047783A">
    <w:pPr>
      <w:pStyle w:val="Footer"/>
      <w:framePr w:wrap="around" w:vAnchor="text" w:hAnchor="margin" w:xAlign="right" w:y="1"/>
      <w:rPr>
        <w:rStyle w:val="PageNumber"/>
      </w:rPr>
    </w:pPr>
    <w:r w:rsidRPr="006A5F84">
      <w:rPr>
        <w:rStyle w:val="PageNumber"/>
      </w:rPr>
      <w:fldChar w:fldCharType="begin"/>
    </w:r>
    <w:r w:rsidRPr="006A5F84">
      <w:rPr>
        <w:rStyle w:val="PageNumber"/>
      </w:rPr>
      <w:instrText xml:space="preserve">PAGE  </w:instrText>
    </w:r>
    <w:r w:rsidRPr="006A5F84">
      <w:rPr>
        <w:rStyle w:val="PageNumber"/>
      </w:rPr>
      <w:fldChar w:fldCharType="separate"/>
    </w:r>
    <w:r w:rsidRPr="006A5F84">
      <w:rPr>
        <w:rStyle w:val="PageNumber"/>
      </w:rPr>
      <w:t>1</w:t>
    </w:r>
    <w:r w:rsidRPr="006A5F84">
      <w:rPr>
        <w:rStyle w:val="PageNumber"/>
      </w:rPr>
      <w:fldChar w:fldCharType="end"/>
    </w:r>
  </w:p>
  <w:p w14:paraId="6181BD8D" w14:textId="77777777" w:rsidR="00117ADA" w:rsidRPr="006A5F84" w:rsidRDefault="00117ADA" w:rsidP="0047783A">
    <w:pPr>
      <w:pStyle w:val="Footer"/>
      <w:ind w:right="360"/>
    </w:pPr>
    <w:r>
      <w:t>2006</w:t>
    </w:r>
    <w:r>
      <w:tab/>
    </w:r>
    <w:r>
      <w:tab/>
    </w:r>
    <w:r>
      <w:tab/>
    </w:r>
    <w:r>
      <w:tab/>
    </w:r>
    <w:r>
      <w:tab/>
    </w:r>
    <w:r>
      <w:tab/>
    </w:r>
    <w:r>
      <w:tab/>
    </w:r>
    <w:r>
      <w:tab/>
    </w:r>
    <w:r>
      <w:tab/>
    </w:r>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7EB9A" w14:textId="77777777" w:rsidR="00F215D8" w:rsidRPr="006A5F84" w:rsidRDefault="00F215D8">
      <w:r w:rsidRPr="006A5F84">
        <w:separator/>
      </w:r>
    </w:p>
  </w:footnote>
  <w:footnote w:type="continuationSeparator" w:id="0">
    <w:p w14:paraId="20BC7E0B" w14:textId="77777777" w:rsidR="00F215D8" w:rsidRPr="006A5F84" w:rsidRDefault="00F215D8">
      <w:r w:rsidRPr="006A5F84">
        <w:continuationSeparator/>
      </w:r>
    </w:p>
  </w:footnote>
  <w:footnote w:id="1">
    <w:p w14:paraId="2EA0C49C" w14:textId="378464F0" w:rsidR="002B3B4D" w:rsidRPr="00B5440B" w:rsidRDefault="002B3B4D" w:rsidP="009D0375">
      <w:pPr>
        <w:pStyle w:val="FootnoteText"/>
      </w:pPr>
      <w:r>
        <w:rPr>
          <w:rStyle w:val="FootnoteReference"/>
        </w:rPr>
        <w:footnoteRef/>
      </w:r>
      <w:r>
        <w:tab/>
        <w:t xml:space="preserve">Règlement (UE) 2024/792 du Parlement européen et du Conseil du 29 février 2024 établissant la facilité pour l’Ukraine (JO L, 2024/792, 29.2.2024, </w:t>
      </w:r>
      <w:proofErr w:type="gramStart"/>
      <w:r>
        <w:t>ELI:</w:t>
      </w:r>
      <w:proofErr w:type="gramEnd"/>
      <w:r>
        <w:t xml:space="preserve"> </w:t>
      </w:r>
      <w:hyperlink r:id="rId1" w:history="1">
        <w:r>
          <w:rPr>
            <w:rStyle w:val="Hyperlink"/>
          </w:rPr>
          <w:t>http://data.europa.eu/eli/reg/2024/792/oj</w:t>
        </w:r>
      </w:hyperlink>
      <w:r>
        <w:t>).</w:t>
      </w:r>
    </w:p>
  </w:footnote>
  <w:footnote w:id="2">
    <w:p w14:paraId="473FAD69" w14:textId="78AA88D7" w:rsidR="00297C14" w:rsidRPr="00C73F87" w:rsidRDefault="00297C14" w:rsidP="009D0375">
      <w:pPr>
        <w:pStyle w:val="FootnoteText"/>
      </w:pPr>
      <w:r w:rsidRPr="00520999">
        <w:rPr>
          <w:rStyle w:val="FootnoteReference"/>
        </w:rPr>
        <w:footnoteRef/>
      </w:r>
      <w:r>
        <w:t xml:space="preserve"> </w:t>
      </w:r>
      <w:proofErr w:type="gramStart"/>
      <w:r>
        <w:t>Voir:</w:t>
      </w:r>
      <w:proofErr w:type="gramEnd"/>
      <w:r w:rsidR="004C0500">
        <w:t xml:space="preserve"> </w:t>
      </w:r>
      <w:hyperlink r:id="rId2" w:history="1">
        <w:r w:rsidR="004C0500" w:rsidRPr="005E7516">
          <w:rPr>
            <w:rStyle w:val="Hyperlink"/>
          </w:rPr>
          <w:t>http://www.iccwbo.org/incoterms/</w:t>
        </w:r>
      </w:hyperlink>
    </w:p>
  </w:footnote>
  <w:footnote w:id="3">
    <w:p w14:paraId="70EC6637" w14:textId="77777777" w:rsidR="00297C14" w:rsidRPr="00B5440B" w:rsidRDefault="00297C14" w:rsidP="009D0375">
      <w:pPr>
        <w:pStyle w:val="FootnoteText"/>
      </w:pPr>
      <w:r>
        <w:rPr>
          <w:rStyle w:val="FootnoteReference"/>
        </w:rPr>
        <w:footnoteRef/>
      </w:r>
      <w:r>
        <w:t xml:space="preserve"> Idem.</w:t>
      </w:r>
    </w:p>
  </w:footnote>
  <w:footnote w:id="4">
    <w:p w14:paraId="56D56E54" w14:textId="0C13E274" w:rsidR="001C6A79" w:rsidRPr="00B5440B" w:rsidRDefault="001C6A79" w:rsidP="009D0375">
      <w:pPr>
        <w:pStyle w:val="FootnoteText"/>
      </w:pPr>
      <w:r>
        <w:rPr>
          <w:rStyle w:val="FootnoteReference"/>
        </w:rPr>
        <w:footnoteRef/>
      </w:r>
      <w:r>
        <w:tab/>
      </w:r>
      <w:bookmarkStart w:id="26" w:name="_Hlk167465553"/>
      <w:r>
        <w:rPr>
          <w:highlight w:val="yellow"/>
        </w:rPr>
        <w:t>Le paiement du premier préfinancement n’est pas subordonné à la réception d’une facture et aucune facture n’est requise. Si l’utilisation du système d’échange électronique visé à l’article 4, paragraphe 4, des conditions particulières n’est pas activée, le contractant doit envoyer une facture pour le paiement du préfinancement.</w:t>
      </w:r>
      <w:r>
        <w:t xml:space="preserve"> </w:t>
      </w:r>
      <w:bookmarkEnd w:id="26"/>
      <w:r>
        <w:rPr>
          <w:highlight w:val="yellow"/>
        </w:rPr>
        <w:t>Dans le cas contraire, le paiement du premier préfinancement n’est pas subordonné à la réception d’une facture et aucune facture n’est requise.</w:t>
      </w:r>
    </w:p>
  </w:footnote>
  <w:footnote w:id="5">
    <w:p w14:paraId="381A3A5A" w14:textId="06A77E85" w:rsidR="00F0405C" w:rsidRPr="00B5440B" w:rsidRDefault="00F0405C" w:rsidP="009D0375">
      <w:pPr>
        <w:pStyle w:val="FootnoteText"/>
        <w:rPr>
          <w:highlight w:val="yellow"/>
        </w:rPr>
      </w:pPr>
      <w:r>
        <w:rPr>
          <w:rStyle w:val="FootnoteReference"/>
        </w:rPr>
        <w:footnoteRef/>
      </w:r>
      <w:r>
        <w:tab/>
      </w:r>
      <w:r w:rsidR="00C44F9D">
        <w:rPr>
          <w:highlight w:val="yellow"/>
        </w:rPr>
        <w:t xml:space="preserve">Voir la disposition interne au chapitre 9 du </w:t>
      </w:r>
      <w:proofErr w:type="spellStart"/>
      <w:r w:rsidR="00C44F9D">
        <w:rPr>
          <w:highlight w:val="yellow"/>
        </w:rPr>
        <w:t>Companion</w:t>
      </w:r>
      <w:proofErr w:type="spellEnd"/>
      <w:r>
        <w:rPr>
          <w:highlight w:val="yellow"/>
        </w:rPr>
        <w:t>.</w:t>
      </w:r>
      <w:r>
        <w:t xml:space="preserve">  </w:t>
      </w:r>
    </w:p>
  </w:footnote>
  <w:footnote w:id="6">
    <w:p w14:paraId="7150A3CF" w14:textId="0A2BA7CB" w:rsidR="006A601D" w:rsidRPr="00B5440B" w:rsidRDefault="006A601D" w:rsidP="009D0375">
      <w:pPr>
        <w:pStyle w:val="FootnoteText"/>
      </w:pPr>
      <w:r>
        <w:rPr>
          <w:rStyle w:val="FootnoteReference"/>
        </w:rPr>
        <w:footnoteRef/>
      </w:r>
      <w:r>
        <w:tab/>
      </w:r>
      <w:r>
        <w:rPr>
          <w:highlight w:val="yellow"/>
        </w:rPr>
        <w:t xml:space="preserve">La déclaration sur l’honneur ou la </w:t>
      </w:r>
      <w:hyperlink r:id="rId3" w:history="1">
        <w:r>
          <w:rPr>
            <w:rStyle w:val="Hyperlink"/>
            <w:highlight w:val="yellow"/>
          </w:rPr>
          <w:t>liste des débiteurs</w:t>
        </w:r>
      </w:hyperlink>
      <w:r>
        <w:rPr>
          <w:highlight w:val="yellow"/>
        </w:rPr>
        <w:t xml:space="preserve"> confirment la dette constatée envers l’Union.</w:t>
      </w:r>
    </w:p>
  </w:footnote>
  <w:footnote w:id="7">
    <w:p w14:paraId="6DE1FC9D" w14:textId="47D0C92C" w:rsidR="00BD1517" w:rsidRPr="00B5440B" w:rsidRDefault="00BD1517" w:rsidP="009D0375">
      <w:pPr>
        <w:pStyle w:val="FootnoteText"/>
      </w:pPr>
      <w:r>
        <w:rPr>
          <w:rStyle w:val="FootnoteReference"/>
        </w:rPr>
        <w:footnoteRef/>
      </w:r>
      <w:r>
        <w:tab/>
      </w:r>
      <w:r>
        <w:rPr>
          <w:highlight w:val="yellow"/>
        </w:rPr>
        <w:t>&lt;DDP (</w:t>
      </w:r>
      <w:proofErr w:type="spellStart"/>
      <w:r>
        <w:rPr>
          <w:highlight w:val="yellow"/>
        </w:rPr>
        <w:t>delivery</w:t>
      </w:r>
      <w:proofErr w:type="spellEnd"/>
      <w:r>
        <w:rPr>
          <w:highlight w:val="yellow"/>
        </w:rPr>
        <w:t xml:space="preserve"> </w:t>
      </w:r>
      <w:proofErr w:type="spellStart"/>
      <w:r>
        <w:rPr>
          <w:highlight w:val="yellow"/>
        </w:rPr>
        <w:t>duty</w:t>
      </w:r>
      <w:proofErr w:type="spellEnd"/>
      <w:r>
        <w:rPr>
          <w:highlight w:val="yellow"/>
        </w:rPr>
        <w:t xml:space="preserve"> </w:t>
      </w:r>
      <w:proofErr w:type="spellStart"/>
      <w:r>
        <w:rPr>
          <w:highlight w:val="yellow"/>
        </w:rPr>
        <w:t>paid</w:t>
      </w:r>
      <w:proofErr w:type="spellEnd"/>
      <w:r>
        <w:rPr>
          <w:highlight w:val="yellow"/>
        </w:rPr>
        <w:t xml:space="preserve"> = rendu droits acquittés)&gt;/&lt;DAP (</w:t>
      </w:r>
      <w:proofErr w:type="spellStart"/>
      <w:r>
        <w:rPr>
          <w:highlight w:val="yellow"/>
        </w:rPr>
        <w:t>delivered</w:t>
      </w:r>
      <w:proofErr w:type="spellEnd"/>
      <w:r>
        <w:rPr>
          <w:highlight w:val="yellow"/>
        </w:rPr>
        <w:t xml:space="preserve"> at place = rendu au lieu de destination)&gt;</w:t>
      </w:r>
      <w:r>
        <w:rPr>
          <w:sz w:val="22"/>
        </w:rPr>
        <w:t xml:space="preserve"> </w:t>
      </w:r>
      <w:r>
        <w:t xml:space="preserve">- Incoterms 2020, Chambre de commerce internationale - </w:t>
      </w:r>
      <w:hyperlink r:id="rId4" w:history="1">
        <w:r>
          <w:rPr>
            <w:rStyle w:val="Hyperlink"/>
          </w:rPr>
          <w:t>http://www.iccwbo.org/incoterms/</w:t>
        </w:r>
      </w:hyperlink>
      <w:r>
        <w:t>.</w:t>
      </w:r>
    </w:p>
  </w:footnote>
  <w:footnote w:id="8">
    <w:p w14:paraId="613D5799" w14:textId="2FC28031" w:rsidR="009F7E6A" w:rsidRDefault="009F7E6A" w:rsidP="009D0375">
      <w:pPr>
        <w:pStyle w:val="FootnoteText"/>
      </w:pPr>
      <w:r>
        <w:rPr>
          <w:rStyle w:val="FootnoteReference"/>
        </w:rPr>
        <w:footnoteRef/>
      </w:r>
      <w:r>
        <w:tab/>
        <w:t>JO L 295 du 21.11.2018, p. 39.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55D7C"/>
    <w:multiLevelType w:val="hybridMultilevel"/>
    <w:tmpl w:val="BAB64ED6"/>
    <w:lvl w:ilvl="0" w:tplc="E506CE1A">
      <w:start w:val="1"/>
      <w:numFmt w:val="decimal"/>
      <w:lvlText w:val="%1."/>
      <w:lvlJc w:val="left"/>
      <w:pPr>
        <w:ind w:left="360" w:hanging="360"/>
      </w:pPr>
      <w:rPr>
        <w:rFonts w:hint="default"/>
      </w:rPr>
    </w:lvl>
    <w:lvl w:ilvl="1" w:tplc="E4B6DA76">
      <w:start w:val="1"/>
      <w:numFmt w:val="lowerLetter"/>
      <w:lvlText w:val="%2."/>
      <w:lvlJc w:val="left"/>
      <w:pPr>
        <w:ind w:left="447" w:hanging="360"/>
      </w:pPr>
    </w:lvl>
    <w:lvl w:ilvl="2" w:tplc="0809001B">
      <w:start w:val="1"/>
      <w:numFmt w:val="lowerRoman"/>
      <w:lvlText w:val="%3."/>
      <w:lvlJc w:val="right"/>
      <w:pPr>
        <w:ind w:left="1167" w:hanging="180"/>
      </w:pPr>
    </w:lvl>
    <w:lvl w:ilvl="3" w:tplc="0809000F">
      <w:start w:val="1"/>
      <w:numFmt w:val="decimal"/>
      <w:lvlText w:val="%4."/>
      <w:lvlJc w:val="left"/>
      <w:pPr>
        <w:ind w:left="1887" w:hanging="360"/>
      </w:pPr>
    </w:lvl>
    <w:lvl w:ilvl="4" w:tplc="08090019">
      <w:start w:val="1"/>
      <w:numFmt w:val="lowerLetter"/>
      <w:lvlText w:val="%5."/>
      <w:lvlJc w:val="left"/>
      <w:pPr>
        <w:ind w:left="2607" w:hanging="360"/>
      </w:pPr>
    </w:lvl>
    <w:lvl w:ilvl="5" w:tplc="0809001B" w:tentative="1">
      <w:start w:val="1"/>
      <w:numFmt w:val="lowerRoman"/>
      <w:lvlText w:val="%6."/>
      <w:lvlJc w:val="right"/>
      <w:pPr>
        <w:ind w:left="3327" w:hanging="180"/>
      </w:pPr>
    </w:lvl>
    <w:lvl w:ilvl="6" w:tplc="0809000F" w:tentative="1">
      <w:start w:val="1"/>
      <w:numFmt w:val="decimal"/>
      <w:lvlText w:val="%7."/>
      <w:lvlJc w:val="left"/>
      <w:pPr>
        <w:ind w:left="4047" w:hanging="360"/>
      </w:pPr>
    </w:lvl>
    <w:lvl w:ilvl="7" w:tplc="08090019" w:tentative="1">
      <w:start w:val="1"/>
      <w:numFmt w:val="lowerLetter"/>
      <w:lvlText w:val="%8."/>
      <w:lvlJc w:val="left"/>
      <w:pPr>
        <w:ind w:left="4767" w:hanging="360"/>
      </w:pPr>
    </w:lvl>
    <w:lvl w:ilvl="8" w:tplc="0809001B" w:tentative="1">
      <w:start w:val="1"/>
      <w:numFmt w:val="lowerRoman"/>
      <w:lvlText w:val="%9."/>
      <w:lvlJc w:val="right"/>
      <w:pPr>
        <w:ind w:left="5487" w:hanging="180"/>
      </w:pPr>
    </w:lvl>
  </w:abstractNum>
  <w:abstractNum w:abstractNumId="1"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C16B6E"/>
    <w:multiLevelType w:val="hybridMultilevel"/>
    <w:tmpl w:val="60425D30"/>
    <w:lvl w:ilvl="0" w:tplc="E06E9EA2">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22DD3599"/>
    <w:multiLevelType w:val="multilevel"/>
    <w:tmpl w:val="4EAA5BA6"/>
    <w:lvl w:ilvl="0">
      <w:start w:val="1"/>
      <w:numFmt w:val="decimal"/>
      <w:pStyle w:val="ListNumber"/>
      <w:lvlText w:val="(%1)"/>
      <w:lvlJc w:val="left"/>
      <w:pPr>
        <w:tabs>
          <w:tab w:val="num" w:pos="1189"/>
        </w:tabs>
        <w:ind w:left="1189" w:hanging="709"/>
      </w:pPr>
    </w:lvl>
    <w:lvl w:ilvl="1">
      <w:start w:val="1"/>
      <w:numFmt w:val="lowerLetter"/>
      <w:pStyle w:val="ListNumberLevel2"/>
      <w:lvlText w:val="(%2)"/>
      <w:lvlJc w:val="left"/>
      <w:pPr>
        <w:tabs>
          <w:tab w:val="num" w:pos="1897"/>
        </w:tabs>
        <w:ind w:left="1897" w:hanging="708"/>
      </w:pPr>
    </w:lvl>
    <w:lvl w:ilvl="2">
      <w:start w:val="1"/>
      <w:numFmt w:val="bullet"/>
      <w:pStyle w:val="ListNumberLevel3"/>
      <w:lvlText w:val="–"/>
      <w:lvlJc w:val="left"/>
      <w:pPr>
        <w:tabs>
          <w:tab w:val="num" w:pos="2606"/>
        </w:tabs>
        <w:ind w:left="2606" w:hanging="709"/>
      </w:pPr>
      <w:rPr>
        <w:rFonts w:ascii="Times New Roman" w:hAnsi="Times New Roman"/>
      </w:rPr>
    </w:lvl>
    <w:lvl w:ilvl="3">
      <w:start w:val="1"/>
      <w:numFmt w:val="bullet"/>
      <w:pStyle w:val="ListNumberLevel4"/>
      <w:lvlText w:val=""/>
      <w:lvlJc w:val="left"/>
      <w:pPr>
        <w:tabs>
          <w:tab w:val="num" w:pos="3315"/>
        </w:tabs>
        <w:ind w:left="3315" w:hanging="709"/>
      </w:pPr>
      <w:rPr>
        <w:rFonts w:ascii="Symbol" w:hAnsi="Symbol"/>
      </w:rPr>
    </w:lvl>
    <w:lvl w:ilvl="4">
      <w:start w:val="1"/>
      <w:numFmt w:val="lowerLetter"/>
      <w:lvlText w:val="(%5)"/>
      <w:lvlJc w:val="left"/>
      <w:pPr>
        <w:tabs>
          <w:tab w:val="num" w:pos="2280"/>
        </w:tabs>
        <w:ind w:left="2280" w:hanging="360"/>
      </w:pPr>
    </w:lvl>
    <w:lvl w:ilvl="5">
      <w:start w:val="1"/>
      <w:numFmt w:val="lowerRoman"/>
      <w:lvlText w:val="(%6)"/>
      <w:lvlJc w:val="left"/>
      <w:pPr>
        <w:tabs>
          <w:tab w:val="num" w:pos="2640"/>
        </w:tabs>
        <w:ind w:left="2640" w:hanging="360"/>
      </w:pPr>
    </w:lvl>
    <w:lvl w:ilvl="6">
      <w:start w:val="1"/>
      <w:numFmt w:val="decimal"/>
      <w:lvlText w:val="%7."/>
      <w:lvlJc w:val="left"/>
      <w:pPr>
        <w:tabs>
          <w:tab w:val="num" w:pos="3000"/>
        </w:tabs>
        <w:ind w:left="3000" w:hanging="360"/>
      </w:pPr>
    </w:lvl>
    <w:lvl w:ilvl="7">
      <w:start w:val="1"/>
      <w:numFmt w:val="lowerLetter"/>
      <w:lvlText w:val="%8."/>
      <w:lvlJc w:val="left"/>
      <w:pPr>
        <w:tabs>
          <w:tab w:val="num" w:pos="3360"/>
        </w:tabs>
        <w:ind w:left="3360" w:hanging="360"/>
      </w:pPr>
    </w:lvl>
    <w:lvl w:ilvl="8">
      <w:start w:val="1"/>
      <w:numFmt w:val="lowerRoman"/>
      <w:lvlText w:val="%9."/>
      <w:lvlJc w:val="left"/>
      <w:pPr>
        <w:tabs>
          <w:tab w:val="num" w:pos="3720"/>
        </w:tabs>
        <w:ind w:left="3720" w:hanging="360"/>
      </w:pPr>
    </w:lvl>
  </w:abstractNum>
  <w:abstractNum w:abstractNumId="9"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4563B57"/>
    <w:multiLevelType w:val="multilevel"/>
    <w:tmpl w:val="87C4CB34"/>
    <w:lvl w:ilvl="0">
      <w:numFmt w:val="bullet"/>
      <w:pStyle w:val="StyleHeading1TimesNewRoman14ptItalic"/>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12"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A3E1714"/>
    <w:multiLevelType w:val="hybridMultilevel"/>
    <w:tmpl w:val="E9A27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41E8201F"/>
    <w:multiLevelType w:val="hybridMultilevel"/>
    <w:tmpl w:val="05E21DA6"/>
    <w:lvl w:ilvl="0" w:tplc="B41625E2">
      <w:start w:val="1"/>
      <w:numFmt w:val="bullet"/>
      <w:lvlText w:val="•"/>
      <w:lvlJc w:val="left"/>
      <w:pPr>
        <w:tabs>
          <w:tab w:val="num" w:pos="720"/>
        </w:tabs>
        <w:ind w:left="720" w:hanging="360"/>
      </w:pPr>
      <w:rPr>
        <w:rFonts w:ascii="Times New Roman" w:hAnsi="Times New Roman" w:hint="default"/>
      </w:rPr>
    </w:lvl>
    <w:lvl w:ilvl="1" w:tplc="93407AEE" w:tentative="1">
      <w:start w:val="1"/>
      <w:numFmt w:val="bullet"/>
      <w:lvlText w:val="•"/>
      <w:lvlJc w:val="left"/>
      <w:pPr>
        <w:tabs>
          <w:tab w:val="num" w:pos="1440"/>
        </w:tabs>
        <w:ind w:left="1440" w:hanging="360"/>
      </w:pPr>
      <w:rPr>
        <w:rFonts w:ascii="Times New Roman" w:hAnsi="Times New Roman" w:hint="default"/>
      </w:rPr>
    </w:lvl>
    <w:lvl w:ilvl="2" w:tplc="8D823AE6" w:tentative="1">
      <w:start w:val="1"/>
      <w:numFmt w:val="bullet"/>
      <w:lvlText w:val="•"/>
      <w:lvlJc w:val="left"/>
      <w:pPr>
        <w:tabs>
          <w:tab w:val="num" w:pos="2160"/>
        </w:tabs>
        <w:ind w:left="2160" w:hanging="360"/>
      </w:pPr>
      <w:rPr>
        <w:rFonts w:ascii="Times New Roman" w:hAnsi="Times New Roman" w:hint="default"/>
      </w:rPr>
    </w:lvl>
    <w:lvl w:ilvl="3" w:tplc="F8567FD4" w:tentative="1">
      <w:start w:val="1"/>
      <w:numFmt w:val="bullet"/>
      <w:lvlText w:val="•"/>
      <w:lvlJc w:val="left"/>
      <w:pPr>
        <w:tabs>
          <w:tab w:val="num" w:pos="2880"/>
        </w:tabs>
        <w:ind w:left="2880" w:hanging="360"/>
      </w:pPr>
      <w:rPr>
        <w:rFonts w:ascii="Times New Roman" w:hAnsi="Times New Roman" w:hint="default"/>
      </w:rPr>
    </w:lvl>
    <w:lvl w:ilvl="4" w:tplc="57C0C44A" w:tentative="1">
      <w:start w:val="1"/>
      <w:numFmt w:val="bullet"/>
      <w:lvlText w:val="•"/>
      <w:lvlJc w:val="left"/>
      <w:pPr>
        <w:tabs>
          <w:tab w:val="num" w:pos="3600"/>
        </w:tabs>
        <w:ind w:left="3600" w:hanging="360"/>
      </w:pPr>
      <w:rPr>
        <w:rFonts w:ascii="Times New Roman" w:hAnsi="Times New Roman" w:hint="default"/>
      </w:rPr>
    </w:lvl>
    <w:lvl w:ilvl="5" w:tplc="0158F9A6" w:tentative="1">
      <w:start w:val="1"/>
      <w:numFmt w:val="bullet"/>
      <w:lvlText w:val="•"/>
      <w:lvlJc w:val="left"/>
      <w:pPr>
        <w:tabs>
          <w:tab w:val="num" w:pos="4320"/>
        </w:tabs>
        <w:ind w:left="4320" w:hanging="360"/>
      </w:pPr>
      <w:rPr>
        <w:rFonts w:ascii="Times New Roman" w:hAnsi="Times New Roman" w:hint="default"/>
      </w:rPr>
    </w:lvl>
    <w:lvl w:ilvl="6" w:tplc="141CEE32" w:tentative="1">
      <w:start w:val="1"/>
      <w:numFmt w:val="bullet"/>
      <w:lvlText w:val="•"/>
      <w:lvlJc w:val="left"/>
      <w:pPr>
        <w:tabs>
          <w:tab w:val="num" w:pos="5040"/>
        </w:tabs>
        <w:ind w:left="5040" w:hanging="360"/>
      </w:pPr>
      <w:rPr>
        <w:rFonts w:ascii="Times New Roman" w:hAnsi="Times New Roman" w:hint="default"/>
      </w:rPr>
    </w:lvl>
    <w:lvl w:ilvl="7" w:tplc="73CE163E" w:tentative="1">
      <w:start w:val="1"/>
      <w:numFmt w:val="bullet"/>
      <w:lvlText w:val="•"/>
      <w:lvlJc w:val="left"/>
      <w:pPr>
        <w:tabs>
          <w:tab w:val="num" w:pos="5760"/>
        </w:tabs>
        <w:ind w:left="5760" w:hanging="360"/>
      </w:pPr>
      <w:rPr>
        <w:rFonts w:ascii="Times New Roman" w:hAnsi="Times New Roman" w:hint="default"/>
      </w:rPr>
    </w:lvl>
    <w:lvl w:ilvl="8" w:tplc="C24ED288"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429348D8"/>
    <w:multiLevelType w:val="multilevel"/>
    <w:tmpl w:val="84C0238C"/>
    <w:lvl w:ilvl="0">
      <w:start w:val="1"/>
      <w:numFmt w:val="decimal"/>
      <w:lvlText w:val="%1"/>
      <w:lvlJc w:val="left"/>
      <w:pPr>
        <w:ind w:left="710" w:hanging="710"/>
      </w:pPr>
      <w:rPr>
        <w:rFonts w:hint="default"/>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3283759"/>
    <w:multiLevelType w:val="hybridMultilevel"/>
    <w:tmpl w:val="2D903908"/>
    <w:lvl w:ilvl="0" w:tplc="F0A6920A">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8531186"/>
    <w:multiLevelType w:val="hybridMultilevel"/>
    <w:tmpl w:val="8AB492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5"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A1D7248"/>
    <w:multiLevelType w:val="hybridMultilevel"/>
    <w:tmpl w:val="A31881AE"/>
    <w:lvl w:ilvl="0" w:tplc="883CE718">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31188699">
    <w:abstractNumId w:val="10"/>
  </w:num>
  <w:num w:numId="2" w16cid:durableId="818964447">
    <w:abstractNumId w:val="24"/>
  </w:num>
  <w:num w:numId="3" w16cid:durableId="1091316594">
    <w:abstractNumId w:val="9"/>
  </w:num>
  <w:num w:numId="4" w16cid:durableId="325011496">
    <w:abstractNumId w:val="12"/>
  </w:num>
  <w:num w:numId="5" w16cid:durableId="1126629808">
    <w:abstractNumId w:val="26"/>
  </w:num>
  <w:num w:numId="6" w16cid:durableId="2105033888">
    <w:abstractNumId w:val="7"/>
  </w:num>
  <w:num w:numId="7" w16cid:durableId="974914910">
    <w:abstractNumId w:val="4"/>
  </w:num>
  <w:num w:numId="8" w16cid:durableId="1185364038">
    <w:abstractNumId w:val="1"/>
  </w:num>
  <w:num w:numId="9" w16cid:durableId="1801801330">
    <w:abstractNumId w:val="14"/>
  </w:num>
  <w:num w:numId="10" w16cid:durableId="205871635">
    <w:abstractNumId w:val="3"/>
  </w:num>
  <w:num w:numId="11" w16cid:durableId="1573999615">
    <w:abstractNumId w:val="22"/>
  </w:num>
  <w:num w:numId="12" w16cid:durableId="310447625">
    <w:abstractNumId w:val="11"/>
  </w:num>
  <w:num w:numId="13" w16cid:durableId="2093429629">
    <w:abstractNumId w:val="5"/>
  </w:num>
  <w:num w:numId="14" w16cid:durableId="892740171">
    <w:abstractNumId w:val="19"/>
  </w:num>
  <w:num w:numId="15" w16cid:durableId="1700667367">
    <w:abstractNumId w:val="20"/>
  </w:num>
  <w:num w:numId="16" w16cid:durableId="787310804">
    <w:abstractNumId w:val="6"/>
  </w:num>
  <w:num w:numId="17" w16cid:durableId="1691101858">
    <w:abstractNumId w:val="16"/>
  </w:num>
  <w:num w:numId="18" w16cid:durableId="860165109">
    <w:abstractNumId w:val="8"/>
  </w:num>
  <w:num w:numId="19" w16cid:durableId="1202285303">
    <w:abstractNumId w:val="2"/>
  </w:num>
  <w:num w:numId="20" w16cid:durableId="988704147">
    <w:abstractNumId w:val="23"/>
  </w:num>
  <w:num w:numId="21" w16cid:durableId="1560508426">
    <w:abstractNumId w:val="17"/>
  </w:num>
  <w:num w:numId="22" w16cid:durableId="1179002257">
    <w:abstractNumId w:val="15"/>
  </w:num>
  <w:num w:numId="23" w16cid:durableId="229584476">
    <w:abstractNumId w:val="0"/>
  </w:num>
  <w:num w:numId="24" w16cid:durableId="1334186439">
    <w:abstractNumId w:val="21"/>
  </w:num>
  <w:num w:numId="25" w16cid:durableId="1944266987">
    <w:abstractNumId w:val="27"/>
  </w:num>
  <w:num w:numId="26" w16cid:durableId="173958389">
    <w:abstractNumId w:val="18"/>
  </w:num>
  <w:num w:numId="27" w16cid:durableId="1931280624">
    <w:abstractNumId w:val="13"/>
  </w:num>
  <w:num w:numId="28" w16cid:durableId="248735300">
    <w:abstractNumId w:val="13"/>
  </w:num>
  <w:num w:numId="29" w16cid:durableId="1020935123">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64865"/>
  </w:hdrShapeDefault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LW_DocType" w:val="NORMAL"/>
    <w:docVar w:name="Stamp" w:val="\\dossiers.dgt.cec.eu.int\dossiers\DEVCO\DEVCO-2011-00112\DEVCO-2011-00112-01-04-EN-REV-00.DOC"/>
  </w:docVars>
  <w:rsids>
    <w:rsidRoot w:val="0073450F"/>
    <w:rsid w:val="000007E4"/>
    <w:rsid w:val="000021E1"/>
    <w:rsid w:val="0000334D"/>
    <w:rsid w:val="00007C5B"/>
    <w:rsid w:val="00015C5E"/>
    <w:rsid w:val="00024A8F"/>
    <w:rsid w:val="00035AE5"/>
    <w:rsid w:val="00035D61"/>
    <w:rsid w:val="00040153"/>
    <w:rsid w:val="00040CF1"/>
    <w:rsid w:val="00041516"/>
    <w:rsid w:val="000417E2"/>
    <w:rsid w:val="00042EEB"/>
    <w:rsid w:val="00043159"/>
    <w:rsid w:val="0004517D"/>
    <w:rsid w:val="00051DD7"/>
    <w:rsid w:val="00056EAA"/>
    <w:rsid w:val="000574F3"/>
    <w:rsid w:val="00062BA9"/>
    <w:rsid w:val="00063C56"/>
    <w:rsid w:val="000665DF"/>
    <w:rsid w:val="00066CBA"/>
    <w:rsid w:val="000714BB"/>
    <w:rsid w:val="000724EA"/>
    <w:rsid w:val="0007671B"/>
    <w:rsid w:val="00085CA1"/>
    <w:rsid w:val="00087F35"/>
    <w:rsid w:val="0009286D"/>
    <w:rsid w:val="00092A48"/>
    <w:rsid w:val="0009746B"/>
    <w:rsid w:val="000A1A71"/>
    <w:rsid w:val="000A3B36"/>
    <w:rsid w:val="000A3E2A"/>
    <w:rsid w:val="000A5F2B"/>
    <w:rsid w:val="000A6371"/>
    <w:rsid w:val="000A7A2C"/>
    <w:rsid w:val="000B0983"/>
    <w:rsid w:val="000B1236"/>
    <w:rsid w:val="000B3D64"/>
    <w:rsid w:val="000B46A8"/>
    <w:rsid w:val="000B79F6"/>
    <w:rsid w:val="000C4AE6"/>
    <w:rsid w:val="000C709A"/>
    <w:rsid w:val="000D24E3"/>
    <w:rsid w:val="000D2B44"/>
    <w:rsid w:val="000D40DB"/>
    <w:rsid w:val="000E7B75"/>
    <w:rsid w:val="000F1339"/>
    <w:rsid w:val="000F5F5F"/>
    <w:rsid w:val="001020D9"/>
    <w:rsid w:val="00103348"/>
    <w:rsid w:val="00103913"/>
    <w:rsid w:val="001064CD"/>
    <w:rsid w:val="0010712E"/>
    <w:rsid w:val="0011156A"/>
    <w:rsid w:val="00111B28"/>
    <w:rsid w:val="00115916"/>
    <w:rsid w:val="00115A3D"/>
    <w:rsid w:val="00117ADA"/>
    <w:rsid w:val="001207A4"/>
    <w:rsid w:val="00121DE4"/>
    <w:rsid w:val="00124A73"/>
    <w:rsid w:val="00125588"/>
    <w:rsid w:val="0012677D"/>
    <w:rsid w:val="001268B7"/>
    <w:rsid w:val="001273A0"/>
    <w:rsid w:val="001302A7"/>
    <w:rsid w:val="0013172C"/>
    <w:rsid w:val="001320DF"/>
    <w:rsid w:val="00144E89"/>
    <w:rsid w:val="00146589"/>
    <w:rsid w:val="0014659F"/>
    <w:rsid w:val="00150767"/>
    <w:rsid w:val="00150EC7"/>
    <w:rsid w:val="001515E4"/>
    <w:rsid w:val="001536B3"/>
    <w:rsid w:val="00154A06"/>
    <w:rsid w:val="00154F15"/>
    <w:rsid w:val="00155623"/>
    <w:rsid w:val="00157C6D"/>
    <w:rsid w:val="00157DEE"/>
    <w:rsid w:val="001645AC"/>
    <w:rsid w:val="00164F15"/>
    <w:rsid w:val="0016752D"/>
    <w:rsid w:val="00167C52"/>
    <w:rsid w:val="00172260"/>
    <w:rsid w:val="001744FE"/>
    <w:rsid w:val="001766D9"/>
    <w:rsid w:val="00177A94"/>
    <w:rsid w:val="00180E2D"/>
    <w:rsid w:val="00181980"/>
    <w:rsid w:val="00184144"/>
    <w:rsid w:val="001859A5"/>
    <w:rsid w:val="001864B6"/>
    <w:rsid w:val="00187253"/>
    <w:rsid w:val="00190077"/>
    <w:rsid w:val="001932AF"/>
    <w:rsid w:val="001937B4"/>
    <w:rsid w:val="001A0632"/>
    <w:rsid w:val="001A6941"/>
    <w:rsid w:val="001A6C79"/>
    <w:rsid w:val="001B4DA9"/>
    <w:rsid w:val="001B5454"/>
    <w:rsid w:val="001B55AC"/>
    <w:rsid w:val="001B6882"/>
    <w:rsid w:val="001C6A79"/>
    <w:rsid w:val="001C709F"/>
    <w:rsid w:val="001C75B0"/>
    <w:rsid w:val="001D0532"/>
    <w:rsid w:val="001D1EB9"/>
    <w:rsid w:val="001D20C7"/>
    <w:rsid w:val="001D339B"/>
    <w:rsid w:val="001E2362"/>
    <w:rsid w:val="001E4648"/>
    <w:rsid w:val="001F410B"/>
    <w:rsid w:val="001F5048"/>
    <w:rsid w:val="001F5421"/>
    <w:rsid w:val="00200A60"/>
    <w:rsid w:val="002012E1"/>
    <w:rsid w:val="002077B6"/>
    <w:rsid w:val="00210552"/>
    <w:rsid w:val="00211229"/>
    <w:rsid w:val="00211E0F"/>
    <w:rsid w:val="00216ADC"/>
    <w:rsid w:val="00216F0D"/>
    <w:rsid w:val="002209F1"/>
    <w:rsid w:val="00220BF7"/>
    <w:rsid w:val="00224C44"/>
    <w:rsid w:val="00225CDC"/>
    <w:rsid w:val="00227A8C"/>
    <w:rsid w:val="00230AB3"/>
    <w:rsid w:val="00240B1F"/>
    <w:rsid w:val="002426D3"/>
    <w:rsid w:val="0024425D"/>
    <w:rsid w:val="002442B7"/>
    <w:rsid w:val="002455C7"/>
    <w:rsid w:val="0025137A"/>
    <w:rsid w:val="002543D5"/>
    <w:rsid w:val="002560BB"/>
    <w:rsid w:val="002561C8"/>
    <w:rsid w:val="00256304"/>
    <w:rsid w:val="00256CB2"/>
    <w:rsid w:val="00262F04"/>
    <w:rsid w:val="0026542C"/>
    <w:rsid w:val="00271700"/>
    <w:rsid w:val="00272A7B"/>
    <w:rsid w:val="00277BEB"/>
    <w:rsid w:val="0028364A"/>
    <w:rsid w:val="00283AC4"/>
    <w:rsid w:val="00290561"/>
    <w:rsid w:val="00294190"/>
    <w:rsid w:val="0029676B"/>
    <w:rsid w:val="00297C14"/>
    <w:rsid w:val="002A0041"/>
    <w:rsid w:val="002A651B"/>
    <w:rsid w:val="002A6DB8"/>
    <w:rsid w:val="002B3B4D"/>
    <w:rsid w:val="002B6401"/>
    <w:rsid w:val="002C649A"/>
    <w:rsid w:val="002C74BB"/>
    <w:rsid w:val="002D0CE1"/>
    <w:rsid w:val="002D1FCC"/>
    <w:rsid w:val="002D2D27"/>
    <w:rsid w:val="002D2FC0"/>
    <w:rsid w:val="002D34D3"/>
    <w:rsid w:val="002D6EED"/>
    <w:rsid w:val="002E5532"/>
    <w:rsid w:val="002F0BB0"/>
    <w:rsid w:val="002F1222"/>
    <w:rsid w:val="002F3C0E"/>
    <w:rsid w:val="0031140C"/>
    <w:rsid w:val="00317D86"/>
    <w:rsid w:val="00322263"/>
    <w:rsid w:val="00324259"/>
    <w:rsid w:val="0032469B"/>
    <w:rsid w:val="003308C6"/>
    <w:rsid w:val="003316E3"/>
    <w:rsid w:val="0033212F"/>
    <w:rsid w:val="003323F5"/>
    <w:rsid w:val="003330F8"/>
    <w:rsid w:val="00335E06"/>
    <w:rsid w:val="0033700A"/>
    <w:rsid w:val="003409B8"/>
    <w:rsid w:val="00341763"/>
    <w:rsid w:val="003439C4"/>
    <w:rsid w:val="00345D44"/>
    <w:rsid w:val="00347B7E"/>
    <w:rsid w:val="003502E9"/>
    <w:rsid w:val="00351351"/>
    <w:rsid w:val="00360344"/>
    <w:rsid w:val="003613D2"/>
    <w:rsid w:val="00361AE1"/>
    <w:rsid w:val="00361AF6"/>
    <w:rsid w:val="0036422F"/>
    <w:rsid w:val="00371851"/>
    <w:rsid w:val="00371F01"/>
    <w:rsid w:val="003721AD"/>
    <w:rsid w:val="00372540"/>
    <w:rsid w:val="00382640"/>
    <w:rsid w:val="0038357E"/>
    <w:rsid w:val="00384BAB"/>
    <w:rsid w:val="00384BFF"/>
    <w:rsid w:val="00384E02"/>
    <w:rsid w:val="00385FFC"/>
    <w:rsid w:val="00387C56"/>
    <w:rsid w:val="003915CC"/>
    <w:rsid w:val="00391C12"/>
    <w:rsid w:val="003925E9"/>
    <w:rsid w:val="0039277B"/>
    <w:rsid w:val="003933E2"/>
    <w:rsid w:val="00395823"/>
    <w:rsid w:val="003A1309"/>
    <w:rsid w:val="003A431E"/>
    <w:rsid w:val="003C084D"/>
    <w:rsid w:val="003C7266"/>
    <w:rsid w:val="003D2078"/>
    <w:rsid w:val="003D3CAA"/>
    <w:rsid w:val="003D625C"/>
    <w:rsid w:val="003D6B6C"/>
    <w:rsid w:val="003D7611"/>
    <w:rsid w:val="003E5CA0"/>
    <w:rsid w:val="003E7C71"/>
    <w:rsid w:val="003F2FA4"/>
    <w:rsid w:val="003F3783"/>
    <w:rsid w:val="003F3B51"/>
    <w:rsid w:val="003F44B3"/>
    <w:rsid w:val="003F44DD"/>
    <w:rsid w:val="003F7AF5"/>
    <w:rsid w:val="003F7DB7"/>
    <w:rsid w:val="0040221E"/>
    <w:rsid w:val="00403DCC"/>
    <w:rsid w:val="0040595A"/>
    <w:rsid w:val="00405C5F"/>
    <w:rsid w:val="004072FA"/>
    <w:rsid w:val="00407C90"/>
    <w:rsid w:val="00407D3B"/>
    <w:rsid w:val="0041345E"/>
    <w:rsid w:val="004158A1"/>
    <w:rsid w:val="00415CCD"/>
    <w:rsid w:val="00417570"/>
    <w:rsid w:val="00420666"/>
    <w:rsid w:val="004300D4"/>
    <w:rsid w:val="00430FE7"/>
    <w:rsid w:val="0043157A"/>
    <w:rsid w:val="004316F0"/>
    <w:rsid w:val="0043240C"/>
    <w:rsid w:val="00432F7A"/>
    <w:rsid w:val="00441859"/>
    <w:rsid w:val="00445A75"/>
    <w:rsid w:val="004476EF"/>
    <w:rsid w:val="004520DC"/>
    <w:rsid w:val="0045310F"/>
    <w:rsid w:val="00454E0D"/>
    <w:rsid w:val="004554CB"/>
    <w:rsid w:val="0045678B"/>
    <w:rsid w:val="004607CD"/>
    <w:rsid w:val="004626B5"/>
    <w:rsid w:val="00463E3C"/>
    <w:rsid w:val="00474AF3"/>
    <w:rsid w:val="004775D2"/>
    <w:rsid w:val="00477689"/>
    <w:rsid w:val="0047783A"/>
    <w:rsid w:val="00483E26"/>
    <w:rsid w:val="0049088E"/>
    <w:rsid w:val="0049293D"/>
    <w:rsid w:val="00494168"/>
    <w:rsid w:val="004A0140"/>
    <w:rsid w:val="004A101E"/>
    <w:rsid w:val="004A6563"/>
    <w:rsid w:val="004A6E28"/>
    <w:rsid w:val="004A7ED9"/>
    <w:rsid w:val="004B633B"/>
    <w:rsid w:val="004B7463"/>
    <w:rsid w:val="004C0500"/>
    <w:rsid w:val="004C270A"/>
    <w:rsid w:val="004C35B5"/>
    <w:rsid w:val="004C3C82"/>
    <w:rsid w:val="004C6030"/>
    <w:rsid w:val="004C77A2"/>
    <w:rsid w:val="004D2FD8"/>
    <w:rsid w:val="004D33C9"/>
    <w:rsid w:val="004E43B2"/>
    <w:rsid w:val="004E6C5D"/>
    <w:rsid w:val="004F5C57"/>
    <w:rsid w:val="004F7A0E"/>
    <w:rsid w:val="005005D7"/>
    <w:rsid w:val="00501FF0"/>
    <w:rsid w:val="005047E0"/>
    <w:rsid w:val="00507AF2"/>
    <w:rsid w:val="00507BA0"/>
    <w:rsid w:val="00512BE8"/>
    <w:rsid w:val="00513C6F"/>
    <w:rsid w:val="00515D85"/>
    <w:rsid w:val="00516552"/>
    <w:rsid w:val="0051770F"/>
    <w:rsid w:val="00520999"/>
    <w:rsid w:val="0052175F"/>
    <w:rsid w:val="00530948"/>
    <w:rsid w:val="0053480C"/>
    <w:rsid w:val="00535826"/>
    <w:rsid w:val="00535CC6"/>
    <w:rsid w:val="00536B4A"/>
    <w:rsid w:val="00537189"/>
    <w:rsid w:val="00551543"/>
    <w:rsid w:val="00554164"/>
    <w:rsid w:val="00555019"/>
    <w:rsid w:val="00555E74"/>
    <w:rsid w:val="00555F46"/>
    <w:rsid w:val="00556923"/>
    <w:rsid w:val="00556F39"/>
    <w:rsid w:val="005603B0"/>
    <w:rsid w:val="005634B2"/>
    <w:rsid w:val="00563662"/>
    <w:rsid w:val="00563669"/>
    <w:rsid w:val="00575CB0"/>
    <w:rsid w:val="005772F7"/>
    <w:rsid w:val="00582894"/>
    <w:rsid w:val="00583FF3"/>
    <w:rsid w:val="00584F28"/>
    <w:rsid w:val="0058601E"/>
    <w:rsid w:val="00586D6C"/>
    <w:rsid w:val="00591F23"/>
    <w:rsid w:val="005921FA"/>
    <w:rsid w:val="00593430"/>
    <w:rsid w:val="00593550"/>
    <w:rsid w:val="005967B4"/>
    <w:rsid w:val="005A016E"/>
    <w:rsid w:val="005A123C"/>
    <w:rsid w:val="005A6C0F"/>
    <w:rsid w:val="005B0129"/>
    <w:rsid w:val="005B083F"/>
    <w:rsid w:val="005B2018"/>
    <w:rsid w:val="005B3CAB"/>
    <w:rsid w:val="005B5937"/>
    <w:rsid w:val="005C0EA1"/>
    <w:rsid w:val="005C36B8"/>
    <w:rsid w:val="005D0163"/>
    <w:rsid w:val="005D03AA"/>
    <w:rsid w:val="005D05B0"/>
    <w:rsid w:val="005D72F7"/>
    <w:rsid w:val="005F3C51"/>
    <w:rsid w:val="005F62D0"/>
    <w:rsid w:val="00602210"/>
    <w:rsid w:val="00603C25"/>
    <w:rsid w:val="00611A73"/>
    <w:rsid w:val="006219A1"/>
    <w:rsid w:val="00623AB3"/>
    <w:rsid w:val="006311FE"/>
    <w:rsid w:val="0063123B"/>
    <w:rsid w:val="00631F9A"/>
    <w:rsid w:val="00633829"/>
    <w:rsid w:val="00636E8F"/>
    <w:rsid w:val="00637C8F"/>
    <w:rsid w:val="006408AC"/>
    <w:rsid w:val="00640D24"/>
    <w:rsid w:val="00642E75"/>
    <w:rsid w:val="00651B07"/>
    <w:rsid w:val="00655A60"/>
    <w:rsid w:val="006575A8"/>
    <w:rsid w:val="00661B3C"/>
    <w:rsid w:val="0066519D"/>
    <w:rsid w:val="00670223"/>
    <w:rsid w:val="00677500"/>
    <w:rsid w:val="0068247E"/>
    <w:rsid w:val="00683E34"/>
    <w:rsid w:val="00684801"/>
    <w:rsid w:val="006858D9"/>
    <w:rsid w:val="00686ACD"/>
    <w:rsid w:val="00686E07"/>
    <w:rsid w:val="006917B2"/>
    <w:rsid w:val="00692095"/>
    <w:rsid w:val="00695007"/>
    <w:rsid w:val="006A5F84"/>
    <w:rsid w:val="006A601D"/>
    <w:rsid w:val="006B0AB1"/>
    <w:rsid w:val="006B145B"/>
    <w:rsid w:val="006B5E82"/>
    <w:rsid w:val="006C2D19"/>
    <w:rsid w:val="006C2F05"/>
    <w:rsid w:val="006C3263"/>
    <w:rsid w:val="006C513D"/>
    <w:rsid w:val="006D3BA1"/>
    <w:rsid w:val="006D3DE4"/>
    <w:rsid w:val="006D5CEE"/>
    <w:rsid w:val="006E5450"/>
    <w:rsid w:val="006E54F2"/>
    <w:rsid w:val="006E56FD"/>
    <w:rsid w:val="006E5B49"/>
    <w:rsid w:val="006E6880"/>
    <w:rsid w:val="006F43E5"/>
    <w:rsid w:val="006F596C"/>
    <w:rsid w:val="00703B91"/>
    <w:rsid w:val="00704477"/>
    <w:rsid w:val="00711C72"/>
    <w:rsid w:val="0071212E"/>
    <w:rsid w:val="0071243A"/>
    <w:rsid w:val="00720411"/>
    <w:rsid w:val="00722016"/>
    <w:rsid w:val="00724C93"/>
    <w:rsid w:val="00724D0C"/>
    <w:rsid w:val="00725082"/>
    <w:rsid w:val="0073450F"/>
    <w:rsid w:val="007520CA"/>
    <w:rsid w:val="0075384B"/>
    <w:rsid w:val="007552DC"/>
    <w:rsid w:val="00760195"/>
    <w:rsid w:val="007625F7"/>
    <w:rsid w:val="00763299"/>
    <w:rsid w:val="00763B1C"/>
    <w:rsid w:val="0076610D"/>
    <w:rsid w:val="007666CD"/>
    <w:rsid w:val="00772E0E"/>
    <w:rsid w:val="00775F12"/>
    <w:rsid w:val="00776BF7"/>
    <w:rsid w:val="00777E99"/>
    <w:rsid w:val="007858B9"/>
    <w:rsid w:val="00791DAC"/>
    <w:rsid w:val="00792240"/>
    <w:rsid w:val="00792A1B"/>
    <w:rsid w:val="00794EE6"/>
    <w:rsid w:val="00795949"/>
    <w:rsid w:val="00797C04"/>
    <w:rsid w:val="007A0045"/>
    <w:rsid w:val="007A1101"/>
    <w:rsid w:val="007A3D34"/>
    <w:rsid w:val="007A67D6"/>
    <w:rsid w:val="007A6AF5"/>
    <w:rsid w:val="007B144E"/>
    <w:rsid w:val="007B4853"/>
    <w:rsid w:val="007B65DB"/>
    <w:rsid w:val="007C0BDD"/>
    <w:rsid w:val="007C1656"/>
    <w:rsid w:val="007C75E0"/>
    <w:rsid w:val="007D5FA2"/>
    <w:rsid w:val="007D752C"/>
    <w:rsid w:val="007E0CD5"/>
    <w:rsid w:val="007E0E45"/>
    <w:rsid w:val="007E36E3"/>
    <w:rsid w:val="007E3D5F"/>
    <w:rsid w:val="007E6380"/>
    <w:rsid w:val="007F4988"/>
    <w:rsid w:val="007F5DDE"/>
    <w:rsid w:val="007F6802"/>
    <w:rsid w:val="0080623C"/>
    <w:rsid w:val="00806CE0"/>
    <w:rsid w:val="00811F58"/>
    <w:rsid w:val="0081418B"/>
    <w:rsid w:val="008201BB"/>
    <w:rsid w:val="008214E2"/>
    <w:rsid w:val="008227A5"/>
    <w:rsid w:val="00822E7E"/>
    <w:rsid w:val="00823FD3"/>
    <w:rsid w:val="008272ED"/>
    <w:rsid w:val="00830BE9"/>
    <w:rsid w:val="00833EBD"/>
    <w:rsid w:val="008413B3"/>
    <w:rsid w:val="008428B9"/>
    <w:rsid w:val="00853F9D"/>
    <w:rsid w:val="00855409"/>
    <w:rsid w:val="0085667F"/>
    <w:rsid w:val="008617F3"/>
    <w:rsid w:val="0086688D"/>
    <w:rsid w:val="00866B17"/>
    <w:rsid w:val="00870FD6"/>
    <w:rsid w:val="00872DA7"/>
    <w:rsid w:val="008733D3"/>
    <w:rsid w:val="00876589"/>
    <w:rsid w:val="008808CB"/>
    <w:rsid w:val="0088419E"/>
    <w:rsid w:val="008847D1"/>
    <w:rsid w:val="00884DDE"/>
    <w:rsid w:val="00885882"/>
    <w:rsid w:val="008859E6"/>
    <w:rsid w:val="008870C9"/>
    <w:rsid w:val="0089085F"/>
    <w:rsid w:val="008923B0"/>
    <w:rsid w:val="00892CE9"/>
    <w:rsid w:val="008934F5"/>
    <w:rsid w:val="00894325"/>
    <w:rsid w:val="008A048D"/>
    <w:rsid w:val="008A0660"/>
    <w:rsid w:val="008A39B7"/>
    <w:rsid w:val="008A6DE2"/>
    <w:rsid w:val="008B230C"/>
    <w:rsid w:val="008C4E79"/>
    <w:rsid w:val="008C5A40"/>
    <w:rsid w:val="008C5DAA"/>
    <w:rsid w:val="008C6A92"/>
    <w:rsid w:val="008D065E"/>
    <w:rsid w:val="008E007A"/>
    <w:rsid w:val="008E40E2"/>
    <w:rsid w:val="008E5F59"/>
    <w:rsid w:val="008E7A2D"/>
    <w:rsid w:val="008F3866"/>
    <w:rsid w:val="008F4FF6"/>
    <w:rsid w:val="009143FD"/>
    <w:rsid w:val="00920A51"/>
    <w:rsid w:val="00922542"/>
    <w:rsid w:val="00923EDA"/>
    <w:rsid w:val="009251E3"/>
    <w:rsid w:val="00925DBE"/>
    <w:rsid w:val="00930AD1"/>
    <w:rsid w:val="0093582A"/>
    <w:rsid w:val="009372A3"/>
    <w:rsid w:val="00945CA1"/>
    <w:rsid w:val="0094670B"/>
    <w:rsid w:val="00950B0C"/>
    <w:rsid w:val="009679FA"/>
    <w:rsid w:val="0097513D"/>
    <w:rsid w:val="00980A42"/>
    <w:rsid w:val="00983FDE"/>
    <w:rsid w:val="00986B1E"/>
    <w:rsid w:val="009976B3"/>
    <w:rsid w:val="009A0E33"/>
    <w:rsid w:val="009A3792"/>
    <w:rsid w:val="009A3A53"/>
    <w:rsid w:val="009A4F18"/>
    <w:rsid w:val="009A69B2"/>
    <w:rsid w:val="009A7E29"/>
    <w:rsid w:val="009B0CF1"/>
    <w:rsid w:val="009B1FBF"/>
    <w:rsid w:val="009B2F1F"/>
    <w:rsid w:val="009B422E"/>
    <w:rsid w:val="009B4D6F"/>
    <w:rsid w:val="009B5A6D"/>
    <w:rsid w:val="009B71DF"/>
    <w:rsid w:val="009C0E86"/>
    <w:rsid w:val="009D0375"/>
    <w:rsid w:val="009D2938"/>
    <w:rsid w:val="009D2E17"/>
    <w:rsid w:val="009D6A3D"/>
    <w:rsid w:val="009E4F6E"/>
    <w:rsid w:val="009E6BB7"/>
    <w:rsid w:val="009F22C3"/>
    <w:rsid w:val="009F3126"/>
    <w:rsid w:val="009F323B"/>
    <w:rsid w:val="009F7E6A"/>
    <w:rsid w:val="00A039CA"/>
    <w:rsid w:val="00A04004"/>
    <w:rsid w:val="00A0748C"/>
    <w:rsid w:val="00A101C9"/>
    <w:rsid w:val="00A11551"/>
    <w:rsid w:val="00A11F12"/>
    <w:rsid w:val="00A13EB8"/>
    <w:rsid w:val="00A1746F"/>
    <w:rsid w:val="00A2645C"/>
    <w:rsid w:val="00A277E9"/>
    <w:rsid w:val="00A31EF5"/>
    <w:rsid w:val="00A41B28"/>
    <w:rsid w:val="00A5099A"/>
    <w:rsid w:val="00A512A5"/>
    <w:rsid w:val="00A512C9"/>
    <w:rsid w:val="00A539E4"/>
    <w:rsid w:val="00A55A8E"/>
    <w:rsid w:val="00A56046"/>
    <w:rsid w:val="00A62073"/>
    <w:rsid w:val="00A63E3C"/>
    <w:rsid w:val="00A665A2"/>
    <w:rsid w:val="00A7016F"/>
    <w:rsid w:val="00A72C82"/>
    <w:rsid w:val="00A74F59"/>
    <w:rsid w:val="00A75650"/>
    <w:rsid w:val="00A76A6E"/>
    <w:rsid w:val="00A77D08"/>
    <w:rsid w:val="00A812E9"/>
    <w:rsid w:val="00A845B1"/>
    <w:rsid w:val="00A87E3D"/>
    <w:rsid w:val="00A90875"/>
    <w:rsid w:val="00A9597C"/>
    <w:rsid w:val="00AA24A4"/>
    <w:rsid w:val="00AA3AAB"/>
    <w:rsid w:val="00AA4766"/>
    <w:rsid w:val="00AA5BB2"/>
    <w:rsid w:val="00AB26E0"/>
    <w:rsid w:val="00AB29A9"/>
    <w:rsid w:val="00AB2AA3"/>
    <w:rsid w:val="00AB3A36"/>
    <w:rsid w:val="00AB3AB0"/>
    <w:rsid w:val="00AB5ED5"/>
    <w:rsid w:val="00AB66A5"/>
    <w:rsid w:val="00AC1107"/>
    <w:rsid w:val="00AC2621"/>
    <w:rsid w:val="00AC2B97"/>
    <w:rsid w:val="00AC5207"/>
    <w:rsid w:val="00AC6D78"/>
    <w:rsid w:val="00AC7636"/>
    <w:rsid w:val="00AC7EEC"/>
    <w:rsid w:val="00AD1A3A"/>
    <w:rsid w:val="00AE0E38"/>
    <w:rsid w:val="00AE5192"/>
    <w:rsid w:val="00AE5504"/>
    <w:rsid w:val="00AE6600"/>
    <w:rsid w:val="00AE7D13"/>
    <w:rsid w:val="00AF275B"/>
    <w:rsid w:val="00AF4052"/>
    <w:rsid w:val="00AF47CA"/>
    <w:rsid w:val="00B003F6"/>
    <w:rsid w:val="00B0538B"/>
    <w:rsid w:val="00B07102"/>
    <w:rsid w:val="00B1165D"/>
    <w:rsid w:val="00B12EB5"/>
    <w:rsid w:val="00B146B4"/>
    <w:rsid w:val="00B17A53"/>
    <w:rsid w:val="00B207DB"/>
    <w:rsid w:val="00B22470"/>
    <w:rsid w:val="00B24350"/>
    <w:rsid w:val="00B2488A"/>
    <w:rsid w:val="00B2499C"/>
    <w:rsid w:val="00B2529B"/>
    <w:rsid w:val="00B277E4"/>
    <w:rsid w:val="00B30528"/>
    <w:rsid w:val="00B3168E"/>
    <w:rsid w:val="00B34179"/>
    <w:rsid w:val="00B44B08"/>
    <w:rsid w:val="00B44DC5"/>
    <w:rsid w:val="00B4772C"/>
    <w:rsid w:val="00B51209"/>
    <w:rsid w:val="00B52AFC"/>
    <w:rsid w:val="00B5440B"/>
    <w:rsid w:val="00B569B1"/>
    <w:rsid w:val="00B576E1"/>
    <w:rsid w:val="00B57BB8"/>
    <w:rsid w:val="00B605B6"/>
    <w:rsid w:val="00B61CED"/>
    <w:rsid w:val="00B63280"/>
    <w:rsid w:val="00B70C0E"/>
    <w:rsid w:val="00B7329A"/>
    <w:rsid w:val="00B80DE8"/>
    <w:rsid w:val="00B8161D"/>
    <w:rsid w:val="00B84EBC"/>
    <w:rsid w:val="00B90A17"/>
    <w:rsid w:val="00B90C14"/>
    <w:rsid w:val="00B9254B"/>
    <w:rsid w:val="00B9316C"/>
    <w:rsid w:val="00B96171"/>
    <w:rsid w:val="00B965CD"/>
    <w:rsid w:val="00B9691D"/>
    <w:rsid w:val="00BA3081"/>
    <w:rsid w:val="00BA3B1A"/>
    <w:rsid w:val="00BA70CB"/>
    <w:rsid w:val="00BB2075"/>
    <w:rsid w:val="00BB2DA5"/>
    <w:rsid w:val="00BB56D3"/>
    <w:rsid w:val="00BC0A51"/>
    <w:rsid w:val="00BC3B75"/>
    <w:rsid w:val="00BC3D17"/>
    <w:rsid w:val="00BC6222"/>
    <w:rsid w:val="00BC743F"/>
    <w:rsid w:val="00BD1306"/>
    <w:rsid w:val="00BD1517"/>
    <w:rsid w:val="00BD19BA"/>
    <w:rsid w:val="00BD201F"/>
    <w:rsid w:val="00BD2F43"/>
    <w:rsid w:val="00BD3371"/>
    <w:rsid w:val="00BD727C"/>
    <w:rsid w:val="00BD72C6"/>
    <w:rsid w:val="00BE3FDF"/>
    <w:rsid w:val="00BF1A9A"/>
    <w:rsid w:val="00C01E30"/>
    <w:rsid w:val="00C05EBE"/>
    <w:rsid w:val="00C12AF0"/>
    <w:rsid w:val="00C13C29"/>
    <w:rsid w:val="00C1524D"/>
    <w:rsid w:val="00C17310"/>
    <w:rsid w:val="00C20179"/>
    <w:rsid w:val="00C20F71"/>
    <w:rsid w:val="00C302E1"/>
    <w:rsid w:val="00C3235B"/>
    <w:rsid w:val="00C34E40"/>
    <w:rsid w:val="00C41328"/>
    <w:rsid w:val="00C41919"/>
    <w:rsid w:val="00C44F9D"/>
    <w:rsid w:val="00C45D2B"/>
    <w:rsid w:val="00C52305"/>
    <w:rsid w:val="00C61312"/>
    <w:rsid w:val="00C70783"/>
    <w:rsid w:val="00C70E2C"/>
    <w:rsid w:val="00C720C8"/>
    <w:rsid w:val="00C73AAE"/>
    <w:rsid w:val="00C73F87"/>
    <w:rsid w:val="00C75CCE"/>
    <w:rsid w:val="00C778A1"/>
    <w:rsid w:val="00C80DCF"/>
    <w:rsid w:val="00C8298B"/>
    <w:rsid w:val="00C846C9"/>
    <w:rsid w:val="00C86724"/>
    <w:rsid w:val="00C92434"/>
    <w:rsid w:val="00C94A76"/>
    <w:rsid w:val="00C95838"/>
    <w:rsid w:val="00CA1354"/>
    <w:rsid w:val="00CA1E77"/>
    <w:rsid w:val="00CA2B18"/>
    <w:rsid w:val="00CA3F76"/>
    <w:rsid w:val="00CA6C68"/>
    <w:rsid w:val="00CB616B"/>
    <w:rsid w:val="00CC189A"/>
    <w:rsid w:val="00CC7DE2"/>
    <w:rsid w:val="00CD68C0"/>
    <w:rsid w:val="00CD6FC9"/>
    <w:rsid w:val="00CD7F25"/>
    <w:rsid w:val="00CE0DCB"/>
    <w:rsid w:val="00CF2DE2"/>
    <w:rsid w:val="00CF30C4"/>
    <w:rsid w:val="00CF6CFA"/>
    <w:rsid w:val="00D02E23"/>
    <w:rsid w:val="00D11009"/>
    <w:rsid w:val="00D131B2"/>
    <w:rsid w:val="00D14292"/>
    <w:rsid w:val="00D17DAE"/>
    <w:rsid w:val="00D23D4C"/>
    <w:rsid w:val="00D243E7"/>
    <w:rsid w:val="00D24469"/>
    <w:rsid w:val="00D24893"/>
    <w:rsid w:val="00D25624"/>
    <w:rsid w:val="00D25711"/>
    <w:rsid w:val="00D312D2"/>
    <w:rsid w:val="00D340E9"/>
    <w:rsid w:val="00D360F2"/>
    <w:rsid w:val="00D43612"/>
    <w:rsid w:val="00D4393D"/>
    <w:rsid w:val="00D50FCB"/>
    <w:rsid w:val="00D52CBF"/>
    <w:rsid w:val="00D541A5"/>
    <w:rsid w:val="00D576CA"/>
    <w:rsid w:val="00D60913"/>
    <w:rsid w:val="00D662AA"/>
    <w:rsid w:val="00D66F04"/>
    <w:rsid w:val="00D678AC"/>
    <w:rsid w:val="00D71AF3"/>
    <w:rsid w:val="00D75213"/>
    <w:rsid w:val="00D75E7A"/>
    <w:rsid w:val="00D7711A"/>
    <w:rsid w:val="00D82847"/>
    <w:rsid w:val="00D83918"/>
    <w:rsid w:val="00D83D1B"/>
    <w:rsid w:val="00D86B5F"/>
    <w:rsid w:val="00D90043"/>
    <w:rsid w:val="00D91D64"/>
    <w:rsid w:val="00D92D6A"/>
    <w:rsid w:val="00D93DB5"/>
    <w:rsid w:val="00D979C6"/>
    <w:rsid w:val="00DA4AB8"/>
    <w:rsid w:val="00DC50E2"/>
    <w:rsid w:val="00DC54A0"/>
    <w:rsid w:val="00DC6C9C"/>
    <w:rsid w:val="00DD0624"/>
    <w:rsid w:val="00DD13B0"/>
    <w:rsid w:val="00DD2B6E"/>
    <w:rsid w:val="00DD5838"/>
    <w:rsid w:val="00DE13B8"/>
    <w:rsid w:val="00DE7055"/>
    <w:rsid w:val="00DE71AB"/>
    <w:rsid w:val="00DF7145"/>
    <w:rsid w:val="00DF7327"/>
    <w:rsid w:val="00DF7EE0"/>
    <w:rsid w:val="00E0295D"/>
    <w:rsid w:val="00E0396B"/>
    <w:rsid w:val="00E13CDE"/>
    <w:rsid w:val="00E14817"/>
    <w:rsid w:val="00E17269"/>
    <w:rsid w:val="00E20891"/>
    <w:rsid w:val="00E2190B"/>
    <w:rsid w:val="00E219CD"/>
    <w:rsid w:val="00E2682A"/>
    <w:rsid w:val="00E27678"/>
    <w:rsid w:val="00E27B1D"/>
    <w:rsid w:val="00E33D2D"/>
    <w:rsid w:val="00E340A7"/>
    <w:rsid w:val="00E34208"/>
    <w:rsid w:val="00E36C8F"/>
    <w:rsid w:val="00E37290"/>
    <w:rsid w:val="00E37A55"/>
    <w:rsid w:val="00E37E11"/>
    <w:rsid w:val="00E41C6F"/>
    <w:rsid w:val="00E46AA5"/>
    <w:rsid w:val="00E52467"/>
    <w:rsid w:val="00E52D98"/>
    <w:rsid w:val="00E5499A"/>
    <w:rsid w:val="00E54B1B"/>
    <w:rsid w:val="00E55D87"/>
    <w:rsid w:val="00E571E1"/>
    <w:rsid w:val="00E60A37"/>
    <w:rsid w:val="00E62221"/>
    <w:rsid w:val="00E62923"/>
    <w:rsid w:val="00E653F0"/>
    <w:rsid w:val="00E66C96"/>
    <w:rsid w:val="00E672EF"/>
    <w:rsid w:val="00E70FE6"/>
    <w:rsid w:val="00E730A5"/>
    <w:rsid w:val="00E74AE4"/>
    <w:rsid w:val="00E76535"/>
    <w:rsid w:val="00E811F3"/>
    <w:rsid w:val="00E85F91"/>
    <w:rsid w:val="00E87734"/>
    <w:rsid w:val="00EA2492"/>
    <w:rsid w:val="00EA63E1"/>
    <w:rsid w:val="00EB2C4D"/>
    <w:rsid w:val="00EB32E9"/>
    <w:rsid w:val="00EB3F46"/>
    <w:rsid w:val="00EB45CB"/>
    <w:rsid w:val="00EB78F4"/>
    <w:rsid w:val="00EC51B6"/>
    <w:rsid w:val="00ED58B7"/>
    <w:rsid w:val="00EE0ED9"/>
    <w:rsid w:val="00EE23B1"/>
    <w:rsid w:val="00EE2E55"/>
    <w:rsid w:val="00EE456E"/>
    <w:rsid w:val="00EF09EF"/>
    <w:rsid w:val="00EF1C05"/>
    <w:rsid w:val="00EF3951"/>
    <w:rsid w:val="00EF6426"/>
    <w:rsid w:val="00EF6552"/>
    <w:rsid w:val="00F017DE"/>
    <w:rsid w:val="00F02006"/>
    <w:rsid w:val="00F0405C"/>
    <w:rsid w:val="00F0574A"/>
    <w:rsid w:val="00F16179"/>
    <w:rsid w:val="00F21266"/>
    <w:rsid w:val="00F215D8"/>
    <w:rsid w:val="00F30624"/>
    <w:rsid w:val="00F327BD"/>
    <w:rsid w:val="00F33149"/>
    <w:rsid w:val="00F33605"/>
    <w:rsid w:val="00F33A99"/>
    <w:rsid w:val="00F355C1"/>
    <w:rsid w:val="00F35D21"/>
    <w:rsid w:val="00F4288C"/>
    <w:rsid w:val="00F436C3"/>
    <w:rsid w:val="00F4528C"/>
    <w:rsid w:val="00F460CA"/>
    <w:rsid w:val="00F51D3D"/>
    <w:rsid w:val="00F545FC"/>
    <w:rsid w:val="00F54872"/>
    <w:rsid w:val="00F56D4C"/>
    <w:rsid w:val="00F60098"/>
    <w:rsid w:val="00F658F3"/>
    <w:rsid w:val="00F671B9"/>
    <w:rsid w:val="00F676D0"/>
    <w:rsid w:val="00F67C74"/>
    <w:rsid w:val="00F70353"/>
    <w:rsid w:val="00F72977"/>
    <w:rsid w:val="00F75F46"/>
    <w:rsid w:val="00F8016B"/>
    <w:rsid w:val="00F804E1"/>
    <w:rsid w:val="00F838EB"/>
    <w:rsid w:val="00F86699"/>
    <w:rsid w:val="00F874CE"/>
    <w:rsid w:val="00F87ABC"/>
    <w:rsid w:val="00F87F88"/>
    <w:rsid w:val="00F90A9F"/>
    <w:rsid w:val="00F91DF6"/>
    <w:rsid w:val="00F94745"/>
    <w:rsid w:val="00F952A4"/>
    <w:rsid w:val="00F962E3"/>
    <w:rsid w:val="00FA3F66"/>
    <w:rsid w:val="00FB2706"/>
    <w:rsid w:val="00FB3374"/>
    <w:rsid w:val="00FB67DE"/>
    <w:rsid w:val="00FD1E84"/>
    <w:rsid w:val="00FD23CD"/>
    <w:rsid w:val="00FD659C"/>
    <w:rsid w:val="00FD68B9"/>
    <w:rsid w:val="00FD6CB9"/>
    <w:rsid w:val="00FE1372"/>
    <w:rsid w:val="00FE3081"/>
    <w:rsid w:val="00FE3E3B"/>
    <w:rsid w:val="00FE689C"/>
    <w:rsid w:val="00FE7134"/>
    <w:rsid w:val="00FE7D87"/>
    <w:rsid w:val="00FF31D6"/>
    <w:rsid w:val="00FF78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4865"/>
    <o:shapelayout v:ext="edit">
      <o:idmap v:ext="edit" data="1"/>
    </o:shapelayout>
  </w:shapeDefaults>
  <w:decimalSymbol w:val="."/>
  <w:listSeparator w:val=","/>
  <w14:docId w14:val="61978073"/>
  <w15:chartTrackingRefBased/>
  <w15:docId w15:val="{1426DA7F-1AF9-498A-B857-DDCC75BE0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annotation text" w:uiPriority="99"/>
    <w:lsdException w:name="footer" w:uiPriority="99"/>
    <w:lsdException w:name="caption" w:semiHidden="1" w:unhideWhenUsed="1" w:qFormat="1"/>
    <w:lsdException w:name="footnote reference" w:qFormat="1"/>
    <w:lsdException w:name="annotation reference" w:uiPriority="99"/>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20D9"/>
    <w:pPr>
      <w:spacing w:before="120" w:after="120"/>
    </w:pPr>
    <w:rPr>
      <w:rFonts w:ascii="Arial" w:hAnsi="Arial"/>
      <w:snapToGrid w:val="0"/>
      <w:lang w:eastAsia="en-US"/>
    </w:rPr>
  </w:style>
  <w:style w:type="paragraph" w:styleId="Heading1">
    <w:name w:val="heading 1"/>
    <w:basedOn w:val="Normal"/>
    <w:next w:val="Normal"/>
    <w:link w:val="Heading1Char1"/>
    <w:qFormat/>
    <w:pPr>
      <w:keepNext/>
      <w:numPr>
        <w:numId w:val="2"/>
      </w:numPr>
      <w:tabs>
        <w:tab w:val="right" w:pos="567"/>
      </w:tabs>
      <w:spacing w:before="240" w:after="240"/>
      <w:jc w:val="both"/>
      <w:outlineLvl w:val="0"/>
    </w:pPr>
    <w:rPr>
      <w:b/>
    </w:rPr>
  </w:style>
  <w:style w:type="paragraph" w:styleId="Heading2">
    <w:name w:val="heading 2"/>
    <w:basedOn w:val="Normal"/>
    <w:next w:val="Normal"/>
    <w:link w:val="Heading2Char"/>
    <w:qFormat/>
    <w:pPr>
      <w:keepNext/>
      <w:outlineLvl w:val="1"/>
    </w:p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2"/>
      </w:numPr>
      <w:spacing w:before="240" w:after="60"/>
      <w:outlineLvl w:val="3"/>
    </w:pPr>
    <w:rPr>
      <w:b/>
      <w:sz w:val="24"/>
    </w:rPr>
  </w:style>
  <w:style w:type="paragraph" w:styleId="Heading5">
    <w:name w:val="heading 5"/>
    <w:basedOn w:val="Normal"/>
    <w:next w:val="Normal"/>
    <w:link w:val="Heading5Char"/>
    <w:qFormat/>
    <w:pPr>
      <w:numPr>
        <w:ilvl w:val="4"/>
        <w:numId w:val="2"/>
      </w:numPr>
      <w:spacing w:before="240" w:after="60"/>
      <w:outlineLvl w:val="4"/>
    </w:pPr>
    <w:rPr>
      <w:sz w:val="22"/>
    </w:rPr>
  </w:style>
  <w:style w:type="paragraph" w:styleId="Heading6">
    <w:name w:val="heading 6"/>
    <w:basedOn w:val="Normal"/>
    <w:next w:val="Normal"/>
    <w:link w:val="Heading6Char"/>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2"/>
      </w:numPr>
      <w:spacing w:before="240" w:after="60"/>
      <w:outlineLvl w:val="6"/>
    </w:pPr>
  </w:style>
  <w:style w:type="paragraph" w:styleId="Heading8">
    <w:name w:val="heading 8"/>
    <w:basedOn w:val="Normal"/>
    <w:next w:val="Normal"/>
    <w:link w:val="Heading8Char"/>
    <w:qFormat/>
    <w:pPr>
      <w:numPr>
        <w:ilvl w:val="7"/>
        <w:numId w:val="2"/>
      </w:numPr>
      <w:spacing w:before="240" w:after="60"/>
      <w:outlineLvl w:val="7"/>
    </w:pPr>
    <w:rPr>
      <w:i/>
    </w:rPr>
  </w:style>
  <w:style w:type="paragraph" w:styleId="Heading9">
    <w:name w:val="heading 9"/>
    <w:basedOn w:val="Normal"/>
    <w:next w:val="Normal"/>
    <w:link w:val="Heading9Char"/>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rPr>
  </w:style>
  <w:style w:type="paragraph" w:styleId="Subtitle">
    <w:name w:val="Subtitle"/>
    <w:basedOn w:val="Normal"/>
    <w:link w:val="SubtitleChar"/>
    <w:qFormat/>
    <w:pPr>
      <w:jc w:val="center"/>
    </w:pPr>
    <w:rPr>
      <w:b/>
      <w:sz w:val="28"/>
    </w:rPr>
  </w:style>
  <w:style w:type="paragraph" w:styleId="BodyTextIndent">
    <w:name w:val="Body Text Indent"/>
    <w:basedOn w:val="Normal"/>
    <w:link w:val="BodyTextIndentChar"/>
    <w:pPr>
      <w:tabs>
        <w:tab w:val="num" w:pos="567"/>
      </w:tabs>
      <w:spacing w:before="0" w:after="0"/>
      <w:jc w:val="both"/>
    </w:pPr>
    <w:rPr>
      <w:rFonts w:ascii="Times New Roman" w:hAnsi="Times New Roman"/>
      <w:sz w:val="24"/>
    </w:rPr>
  </w:style>
  <w:style w:type="paragraph" w:styleId="BodyText">
    <w:name w:val="Body Text"/>
    <w:basedOn w:val="Normal"/>
    <w:link w:val="BodyTextChar"/>
  </w:style>
  <w:style w:type="paragraph" w:styleId="BodyTextIndent2">
    <w:name w:val="Body Text Indent 2"/>
    <w:basedOn w:val="Normal"/>
    <w:link w:val="BodyTextIndent2Char"/>
    <w:pPr>
      <w:tabs>
        <w:tab w:val="num" w:pos="567"/>
        <w:tab w:val="num" w:pos="2160"/>
      </w:tabs>
      <w:spacing w:after="240"/>
      <w:ind w:left="567" w:hanging="567"/>
      <w:jc w:val="both"/>
    </w:pPr>
    <w:rPr>
      <w:sz w:val="24"/>
      <w:u w:val="single"/>
    </w:rPr>
  </w:style>
  <w:style w:type="paragraph" w:styleId="BodyTextIndent3">
    <w:name w:val="Body Text Indent 3"/>
    <w:basedOn w:val="Normal"/>
    <w:link w:val="BodyTextIndent3Char"/>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3">
    <w:name w:val="Body Text 3"/>
    <w:basedOn w:val="Normal"/>
    <w:link w:val="BodyText3Char"/>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uiPriority w:val="99"/>
    <w:rPr>
      <w:color w:val="0000FF"/>
      <w:u w:val="single"/>
    </w:rPr>
  </w:style>
  <w:style w:type="paragraph" w:styleId="FootnoteText">
    <w:name w:val="footnote text"/>
    <w:aliases w:val="Schriftart: 9 pt,Schriftart: 10 pt,Schriftart: 8 pt,WB-Fußnotentext,FoodNote,ft,Footnote,Footnote Text Char Char,Footnote Text Char1 Char Char,Footnote Text Char Char Char Char,fn,f,Voetnoottekst Char,Footnote Text Char1 Cha,Fußnote"/>
    <w:basedOn w:val="Normal"/>
    <w:autoRedefine/>
    <w:uiPriority w:val="99"/>
    <w:qFormat/>
    <w:rsid w:val="009D0375"/>
    <w:pPr>
      <w:spacing w:before="0"/>
      <w:ind w:left="142" w:hanging="142"/>
      <w:jc w:val="both"/>
    </w:pPr>
    <w:rPr>
      <w:rFonts w:ascii="Times New Roman" w:hAnsi="Times New Roman"/>
    </w:rPr>
  </w:style>
  <w:style w:type="character" w:styleId="FootnoteReference">
    <w:name w:val="footnote reference"/>
    <w:aliases w:val="Footnote symbol,Times 10 Point,Exposant 3 Point, Exposant 3 Point,Footnote number,Footnote Reference Number,Footnote reference number,Footnote Reference Superscript,EN Footnote Reference,note TESI,Voetnootverwijzing,fr,o,FR,FR1,note T"/>
    <w:qFormat/>
    <w:rPr>
      <w:vertAlign w:val="superscript"/>
    </w:rPr>
  </w:style>
  <w:style w:type="paragraph" w:styleId="DocumentMap">
    <w:name w:val="Document Map"/>
    <w:basedOn w:val="Normal"/>
    <w:link w:val="DocumentMapChar"/>
    <w:semiHidden/>
    <w:pPr>
      <w:shd w:val="clear" w:color="auto" w:fill="000080"/>
    </w:pPr>
    <w:rPr>
      <w:sz w:val="24"/>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rPr>
  </w:style>
  <w:style w:type="paragraph" w:customStyle="1" w:styleId="Style1">
    <w:name w:val="Style1"/>
    <w:basedOn w:val="Normal"/>
    <w:pPr>
      <w:keepNext/>
      <w:widowControl w:val="0"/>
      <w:tabs>
        <w:tab w:val="num" w:pos="992"/>
      </w:tabs>
      <w:ind w:left="992" w:hanging="992"/>
    </w:pPr>
    <w:rPr>
      <w:b/>
      <w:sz w:val="18"/>
    </w:rPr>
  </w:style>
  <w:style w:type="paragraph" w:customStyle="1" w:styleId="titlefront">
    <w:name w:val="title_front"/>
    <w:basedOn w:val="Normal"/>
    <w:pPr>
      <w:spacing w:before="240"/>
      <w:ind w:left="1701"/>
      <w:jc w:val="right"/>
    </w:pPr>
    <w:rPr>
      <w:rFonts w:ascii="Optima" w:hAnsi="Optima"/>
      <w:b/>
      <w:sz w:val="28"/>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before="0" w:after="0"/>
      <w:ind w:left="200"/>
    </w:pPr>
    <w:rPr>
      <w:rFonts w:ascii="Times New Roman" w:hAnsi="Times New Roman"/>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rPr>
  </w:style>
  <w:style w:type="paragraph" w:styleId="TOC3">
    <w:name w:val="toc 3"/>
    <w:basedOn w:val="Normal"/>
    <w:next w:val="Normal"/>
    <w:autoRedefine/>
    <w:semiHidden/>
    <w:pPr>
      <w:spacing w:before="0" w:after="0"/>
      <w:ind w:left="400"/>
    </w:pPr>
    <w:rPr>
      <w:rFonts w:ascii="Times New Roman" w:hAnsi="Times New Roman"/>
      <w:i/>
    </w:rPr>
  </w:style>
  <w:style w:type="paragraph" w:styleId="TOC4">
    <w:name w:val="toc 4"/>
    <w:basedOn w:val="Normal"/>
    <w:next w:val="Normal"/>
    <w:autoRedefine/>
    <w:semiHidden/>
    <w:pPr>
      <w:spacing w:before="0" w:after="0"/>
      <w:ind w:left="600"/>
    </w:pPr>
    <w:rPr>
      <w:rFonts w:ascii="Times New Roman" w:hAnsi="Times New Roman"/>
      <w:sz w:val="18"/>
    </w:rPr>
  </w:style>
  <w:style w:type="paragraph" w:styleId="TOC5">
    <w:name w:val="toc 5"/>
    <w:basedOn w:val="Normal"/>
    <w:next w:val="Normal"/>
    <w:autoRedefine/>
    <w:semiHidden/>
    <w:pPr>
      <w:spacing w:before="0" w:after="0"/>
      <w:ind w:left="800"/>
    </w:pPr>
    <w:rPr>
      <w:rFonts w:ascii="Times New Roman" w:hAnsi="Times New Roman"/>
      <w:sz w:val="18"/>
    </w:rPr>
  </w:style>
  <w:style w:type="paragraph" w:styleId="TOC6">
    <w:name w:val="toc 6"/>
    <w:basedOn w:val="Normal"/>
    <w:next w:val="Normal"/>
    <w:autoRedefine/>
    <w:semiHidden/>
    <w:pPr>
      <w:spacing w:before="0" w:after="0"/>
      <w:ind w:left="1000"/>
    </w:pPr>
    <w:rPr>
      <w:rFonts w:ascii="Times New Roman" w:hAnsi="Times New Roman"/>
      <w:sz w:val="18"/>
    </w:rPr>
  </w:style>
  <w:style w:type="paragraph" w:styleId="TOC7">
    <w:name w:val="toc 7"/>
    <w:basedOn w:val="Normal"/>
    <w:next w:val="Normal"/>
    <w:autoRedefine/>
    <w:semiHidden/>
    <w:pPr>
      <w:spacing w:before="0" w:after="0"/>
      <w:ind w:left="1200"/>
    </w:pPr>
    <w:rPr>
      <w:rFonts w:ascii="Times New Roman" w:hAnsi="Times New Roman"/>
      <w:sz w:val="18"/>
    </w:rPr>
  </w:style>
  <w:style w:type="paragraph" w:styleId="TOC8">
    <w:name w:val="toc 8"/>
    <w:basedOn w:val="Normal"/>
    <w:next w:val="Normal"/>
    <w:autoRedefine/>
    <w:semiHidden/>
    <w:pPr>
      <w:spacing w:before="0" w:after="0"/>
      <w:ind w:left="1400"/>
    </w:pPr>
    <w:rPr>
      <w:rFonts w:ascii="Times New Roman" w:hAnsi="Times New Roman"/>
      <w:sz w:val="18"/>
    </w:rPr>
  </w:style>
  <w:style w:type="paragraph" w:styleId="TOC9">
    <w:name w:val="toc 9"/>
    <w:basedOn w:val="Normal"/>
    <w:next w:val="Normal"/>
    <w:autoRedefine/>
    <w:semiHidden/>
    <w:pPr>
      <w:spacing w:before="0" w:after="0"/>
      <w:ind w:left="1600"/>
    </w:pPr>
    <w:rPr>
      <w:rFonts w:ascii="Times New Roman" w:hAnsi="Times New Roman"/>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eastAsia="en-US"/>
    </w:rPr>
  </w:style>
  <w:style w:type="paragraph" w:customStyle="1" w:styleId="Section">
    <w:name w:val="Section"/>
    <w:basedOn w:val="Normal"/>
    <w:pPr>
      <w:widowControl w:val="0"/>
      <w:spacing w:before="0" w:after="0" w:line="360" w:lineRule="exact"/>
      <w:jc w:val="center"/>
    </w:pPr>
    <w:rPr>
      <w:b/>
      <w:sz w:val="32"/>
    </w:rPr>
  </w:style>
  <w:style w:type="paragraph" w:customStyle="1" w:styleId="ManualNumPar1">
    <w:name w:val="Manual NumPar 1"/>
    <w:basedOn w:val="Normal"/>
    <w:next w:val="Normal"/>
    <w:pPr>
      <w:ind w:left="851" w:hanging="851"/>
      <w:jc w:val="both"/>
    </w:pPr>
    <w:rPr>
      <w:rFonts w:ascii="Times New Roman" w:hAnsi="Times New Roman"/>
      <w:sz w:val="24"/>
    </w:rPr>
  </w:style>
  <w:style w:type="table" w:styleId="TableGrid">
    <w:name w:val="Table Grid"/>
    <w:basedOn w:val="TableNormal"/>
    <w:rsid w:val="00F90A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E7D13"/>
    <w:pPr>
      <w:tabs>
        <w:tab w:val="num" w:pos="567"/>
      </w:tabs>
      <w:spacing w:before="0" w:after="0"/>
      <w:jc w:val="both"/>
    </w:pPr>
    <w:rPr>
      <w:rFonts w:ascii="Times New Roman" w:hAnsi="Times New Roman"/>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rPr>
  </w:style>
  <w:style w:type="paragraph" w:styleId="BalloonText">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Heading1"/>
    <w:autoRedefine/>
    <w:rsid w:val="0047783A"/>
    <w:pPr>
      <w:numPr>
        <w:numId w:val="1"/>
      </w:numPr>
      <w:tabs>
        <w:tab w:val="right" w:pos="567"/>
      </w:tabs>
    </w:pPr>
    <w:rPr>
      <w:rFonts w:ascii="Times New Roman" w:hAnsi="Times New Roman"/>
      <w:bCs/>
      <w:iCs/>
      <w:sz w:val="24"/>
      <w:szCs w:val="24"/>
    </w:rPr>
  </w:style>
  <w:style w:type="character" w:customStyle="1" w:styleId="Heading2Char">
    <w:name w:val="Heading 2 Char"/>
    <w:link w:val="Heading2"/>
    <w:semiHidden/>
    <w:locked/>
    <w:rsid w:val="0047783A"/>
    <w:rPr>
      <w:rFonts w:ascii="Arial" w:hAnsi="Arial"/>
      <w:snapToGrid w:val="0"/>
      <w:lang w:val="fr-FR" w:eastAsia="en-US" w:bidi="ar-SA"/>
    </w:rPr>
  </w:style>
  <w:style w:type="character" w:customStyle="1" w:styleId="Heading1Char1">
    <w:name w:val="Heading 1 Char1"/>
    <w:link w:val="Heading1"/>
    <w:rsid w:val="0047783A"/>
    <w:rPr>
      <w:rFonts w:ascii="Arial" w:hAnsi="Arial"/>
      <w:b/>
      <w:snapToGrid w:val="0"/>
      <w:lang w:val="fr-FR" w:eastAsia="en-US" w:bidi="ar-SA"/>
    </w:rPr>
  </w:style>
  <w:style w:type="character" w:customStyle="1" w:styleId="Heading1Char">
    <w:name w:val="Heading 1 Char"/>
    <w:locked/>
    <w:rsid w:val="0047783A"/>
    <w:rPr>
      <w:b/>
      <w:sz w:val="24"/>
      <w:szCs w:val="24"/>
      <w:lang w:val="fr-FR" w:eastAsia="en-US" w:bidi="ar-SA"/>
    </w:rPr>
  </w:style>
  <w:style w:type="character" w:customStyle="1" w:styleId="Heading3Char">
    <w:name w:val="Heading 3 Char"/>
    <w:link w:val="Heading3"/>
    <w:semiHidden/>
    <w:locked/>
    <w:rsid w:val="0047783A"/>
    <w:rPr>
      <w:rFonts w:ascii="Arial" w:hAnsi="Arial"/>
      <w:snapToGrid w:val="0"/>
      <w:lang w:val="fr-FR" w:eastAsia="en-US" w:bidi="ar-SA"/>
    </w:rPr>
  </w:style>
  <w:style w:type="character" w:customStyle="1" w:styleId="Heading4Char">
    <w:name w:val="Heading 4 Char"/>
    <w:link w:val="Heading4"/>
    <w:semiHidden/>
    <w:locked/>
    <w:rsid w:val="0047783A"/>
    <w:rPr>
      <w:rFonts w:ascii="Arial" w:hAnsi="Arial"/>
      <w:b/>
      <w:snapToGrid w:val="0"/>
      <w:sz w:val="24"/>
      <w:lang w:val="fr-FR" w:eastAsia="en-US" w:bidi="ar-SA"/>
    </w:rPr>
  </w:style>
  <w:style w:type="character" w:customStyle="1" w:styleId="Heading5Char">
    <w:name w:val="Heading 5 Char"/>
    <w:link w:val="Heading5"/>
    <w:semiHidden/>
    <w:locked/>
    <w:rsid w:val="0047783A"/>
    <w:rPr>
      <w:rFonts w:ascii="Arial" w:hAnsi="Arial"/>
      <w:snapToGrid w:val="0"/>
      <w:sz w:val="22"/>
      <w:lang w:val="fr-FR" w:eastAsia="en-US" w:bidi="ar-SA"/>
    </w:rPr>
  </w:style>
  <w:style w:type="character" w:customStyle="1" w:styleId="Heading6Char">
    <w:name w:val="Heading 6 Char"/>
    <w:link w:val="Heading6"/>
    <w:semiHidden/>
    <w:locked/>
    <w:rsid w:val="0047783A"/>
    <w:rPr>
      <w:rFonts w:ascii="Arial" w:hAnsi="Arial"/>
      <w:i/>
      <w:snapToGrid w:val="0"/>
      <w:sz w:val="22"/>
      <w:lang w:val="fr-FR" w:eastAsia="en-US" w:bidi="ar-SA"/>
    </w:rPr>
  </w:style>
  <w:style w:type="character" w:customStyle="1" w:styleId="Heading7Char">
    <w:name w:val="Heading 7 Char"/>
    <w:link w:val="Heading7"/>
    <w:semiHidden/>
    <w:locked/>
    <w:rsid w:val="0047783A"/>
    <w:rPr>
      <w:rFonts w:ascii="Arial" w:hAnsi="Arial"/>
      <w:snapToGrid w:val="0"/>
      <w:lang w:val="fr-FR" w:eastAsia="en-US" w:bidi="ar-SA"/>
    </w:rPr>
  </w:style>
  <w:style w:type="character" w:customStyle="1" w:styleId="Heading8Char">
    <w:name w:val="Heading 8 Char"/>
    <w:link w:val="Heading8"/>
    <w:semiHidden/>
    <w:locked/>
    <w:rsid w:val="0047783A"/>
    <w:rPr>
      <w:rFonts w:ascii="Arial" w:hAnsi="Arial"/>
      <w:i/>
      <w:snapToGrid w:val="0"/>
      <w:lang w:val="fr-FR" w:eastAsia="en-US" w:bidi="ar-SA"/>
    </w:rPr>
  </w:style>
  <w:style w:type="character" w:customStyle="1" w:styleId="Heading9Char">
    <w:name w:val="Heading 9 Char"/>
    <w:link w:val="Heading9"/>
    <w:semiHidden/>
    <w:locked/>
    <w:rsid w:val="0047783A"/>
    <w:rPr>
      <w:rFonts w:ascii="Arial" w:hAnsi="Arial"/>
      <w:b/>
      <w:i/>
      <w:snapToGrid w:val="0"/>
      <w:sz w:val="18"/>
      <w:lang w:val="fr-FR" w:eastAsia="en-US" w:bidi="ar-SA"/>
    </w:rPr>
  </w:style>
  <w:style w:type="character" w:customStyle="1" w:styleId="TitleChar">
    <w:name w:val="Title Char"/>
    <w:link w:val="Title"/>
    <w:locked/>
    <w:rsid w:val="0047783A"/>
    <w:rPr>
      <w:rFonts w:ascii="Arial" w:hAnsi="Arial"/>
      <w:b/>
      <w:snapToGrid w:val="0"/>
      <w:sz w:val="28"/>
      <w:lang w:val="fr-FR" w:eastAsia="en-US" w:bidi="ar-SA"/>
    </w:rPr>
  </w:style>
  <w:style w:type="character" w:customStyle="1" w:styleId="SubtitleChar">
    <w:name w:val="Subtitle Char"/>
    <w:link w:val="Subtitle"/>
    <w:locked/>
    <w:rsid w:val="0047783A"/>
    <w:rPr>
      <w:rFonts w:ascii="Arial" w:hAnsi="Arial"/>
      <w:b/>
      <w:snapToGrid w:val="0"/>
      <w:sz w:val="28"/>
      <w:lang w:val="fr-FR" w:eastAsia="en-US" w:bidi="ar-SA"/>
    </w:rPr>
  </w:style>
  <w:style w:type="character" w:customStyle="1" w:styleId="BodyTextIndentChar">
    <w:name w:val="Body Text Indent Char"/>
    <w:link w:val="BodyTextIndent"/>
    <w:semiHidden/>
    <w:locked/>
    <w:rsid w:val="0047783A"/>
    <w:rPr>
      <w:snapToGrid w:val="0"/>
      <w:sz w:val="24"/>
      <w:lang w:val="fr-FR" w:eastAsia="en-US" w:bidi="ar-SA"/>
    </w:rPr>
  </w:style>
  <w:style w:type="character" w:customStyle="1" w:styleId="BodyTextChar">
    <w:name w:val="Body Text Char"/>
    <w:link w:val="BodyText"/>
    <w:semiHidden/>
    <w:locked/>
    <w:rsid w:val="0047783A"/>
    <w:rPr>
      <w:rFonts w:ascii="Arial" w:hAnsi="Arial"/>
      <w:snapToGrid w:val="0"/>
      <w:lang w:val="fr-FR" w:eastAsia="en-US" w:bidi="ar-SA"/>
    </w:rPr>
  </w:style>
  <w:style w:type="character" w:customStyle="1" w:styleId="BodyTextIndent2Char">
    <w:name w:val="Body Text Indent 2 Char"/>
    <w:link w:val="BodyTextIndent2"/>
    <w:semiHidden/>
    <w:locked/>
    <w:rsid w:val="0047783A"/>
    <w:rPr>
      <w:rFonts w:ascii="Arial" w:hAnsi="Arial"/>
      <w:snapToGrid w:val="0"/>
      <w:sz w:val="24"/>
      <w:u w:val="single"/>
      <w:lang w:val="fr-FR" w:eastAsia="en-US" w:bidi="ar-SA"/>
    </w:rPr>
  </w:style>
  <w:style w:type="character" w:customStyle="1" w:styleId="BodyTextIndent3Char">
    <w:name w:val="Body Text Indent 3 Char"/>
    <w:link w:val="BodyTextIndent3"/>
    <w:semiHidden/>
    <w:locked/>
    <w:rsid w:val="0047783A"/>
    <w:rPr>
      <w:rFonts w:ascii="Arial" w:hAnsi="Arial"/>
      <w:snapToGrid w:val="0"/>
      <w:sz w:val="24"/>
      <w:lang w:val="fr-FR" w:eastAsia="en-US" w:bidi="ar-SA"/>
    </w:rPr>
  </w:style>
  <w:style w:type="character" w:customStyle="1" w:styleId="HeaderChar">
    <w:name w:val="Header Char"/>
    <w:link w:val="Header"/>
    <w:semiHidden/>
    <w:locked/>
    <w:rsid w:val="0047783A"/>
    <w:rPr>
      <w:rFonts w:ascii="Arial" w:hAnsi="Arial"/>
      <w:snapToGrid w:val="0"/>
      <w:lang w:val="fr-FR" w:eastAsia="en-US" w:bidi="ar-SA"/>
    </w:rPr>
  </w:style>
  <w:style w:type="character" w:customStyle="1" w:styleId="FooterChar">
    <w:name w:val="Footer Char"/>
    <w:link w:val="Footer"/>
    <w:uiPriority w:val="99"/>
    <w:locked/>
    <w:rsid w:val="0047783A"/>
    <w:rPr>
      <w:rFonts w:ascii="Arial" w:hAnsi="Arial"/>
      <w:snapToGrid w:val="0"/>
      <w:lang w:val="fr-FR" w:eastAsia="en-US" w:bidi="ar-SA"/>
    </w:rPr>
  </w:style>
  <w:style w:type="character" w:customStyle="1" w:styleId="BodyText3Char">
    <w:name w:val="Body Text 3 Char"/>
    <w:link w:val="BodyText3"/>
    <w:semiHidden/>
    <w:locked/>
    <w:rsid w:val="0047783A"/>
    <w:rPr>
      <w:rFonts w:ascii="Arial" w:hAnsi="Arial"/>
      <w:b/>
      <w:snapToGrid w:val="0"/>
      <w:sz w:val="24"/>
      <w:lang w:val="fr-FR" w:eastAsia="en-US" w:bidi="ar-SA"/>
    </w:rPr>
  </w:style>
  <w:style w:type="character" w:customStyle="1" w:styleId="FootnoteTextChar">
    <w:name w:val="Footnote Text Char"/>
    <w:aliases w:val="Schriftart: 9 pt Char,Schriftart: 10 pt Char,Schriftart: 8 pt Char,WB-Fußnotentext Char,FoodNote Char,ft Char,Footnote Char,Footnote Text Char Char Char,Footnote Text Char1 Char Char Char,Footnote Text Char Char Char Char Char,fn Char"/>
    <w:uiPriority w:val="99"/>
    <w:locked/>
    <w:rsid w:val="0047783A"/>
    <w:rPr>
      <w:rFonts w:ascii="Arial" w:hAnsi="Arial"/>
      <w:snapToGrid w:val="0"/>
      <w:lang w:val="fr-FR" w:eastAsia="en-US" w:bidi="ar-SA"/>
    </w:rPr>
  </w:style>
  <w:style w:type="character" w:customStyle="1" w:styleId="DocumentMapChar">
    <w:name w:val="Document Map Char"/>
    <w:link w:val="DocumentMap"/>
    <w:semiHidden/>
    <w:locked/>
    <w:rsid w:val="0047783A"/>
    <w:rPr>
      <w:rFonts w:ascii="Arial" w:hAnsi="Arial"/>
      <w:snapToGrid w:val="0"/>
      <w:sz w:val="24"/>
      <w:lang w:val="fr-FR" w:eastAsia="en-US" w:bidi="ar-SA"/>
    </w:rPr>
  </w:style>
  <w:style w:type="character" w:customStyle="1" w:styleId="BodyText2Char">
    <w:name w:val="Body Text 2 Char"/>
    <w:link w:val="BodyText2"/>
    <w:semiHidden/>
    <w:locked/>
    <w:rsid w:val="0047783A"/>
    <w:rPr>
      <w:sz w:val="24"/>
      <w:lang w:val="fr-FR"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rFonts w:ascii="Times New Roman" w:hAnsi="Times New Roman"/>
      <w:snapToGrid/>
      <w:color w:val="000000"/>
      <w:sz w:val="22"/>
      <w:lang w:eastAsia="en-GB"/>
    </w:rPr>
  </w:style>
  <w:style w:type="character" w:styleId="EndnoteReference">
    <w:name w:val="endnote reference"/>
    <w:semiHidden/>
    <w:rsid w:val="0047783A"/>
    <w:rPr>
      <w:vertAlign w:val="superscript"/>
    </w:rPr>
  </w:style>
  <w:style w:type="paragraph" w:styleId="EndnoteText">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before="0" w:after="0"/>
      <w:ind w:left="567"/>
      <w:textAlignment w:val="baseline"/>
    </w:pPr>
    <w:rPr>
      <w:rFonts w:ascii="Times New Roman" w:hAnsi="Times New Roman"/>
      <w:bCs/>
      <w:snapToGrid/>
      <w:sz w:val="22"/>
      <w:szCs w:val="22"/>
    </w:rPr>
  </w:style>
  <w:style w:type="character" w:customStyle="1" w:styleId="Style11pt">
    <w:name w:val="Style 11 pt"/>
    <w:rsid w:val="0047783A"/>
    <w:rPr>
      <w:sz w:val="22"/>
    </w:rPr>
  </w:style>
  <w:style w:type="paragraph" w:customStyle="1" w:styleId="Char2">
    <w:name w:val="Char2"/>
    <w:basedOn w:val="Normal"/>
    <w:rsid w:val="0047783A"/>
    <w:pPr>
      <w:spacing w:before="0" w:after="160" w:line="240" w:lineRule="exact"/>
    </w:pPr>
    <w:rPr>
      <w:rFonts w:ascii="Tahoma" w:hAnsi="Tahoma"/>
      <w:snapToGrid/>
    </w:rPr>
  </w:style>
  <w:style w:type="character" w:styleId="CommentReference">
    <w:name w:val="annotation reference"/>
    <w:uiPriority w:val="99"/>
    <w:rsid w:val="00EE23B1"/>
    <w:rPr>
      <w:sz w:val="16"/>
      <w:szCs w:val="16"/>
    </w:rPr>
  </w:style>
  <w:style w:type="paragraph" w:styleId="CommentText">
    <w:name w:val="annotation text"/>
    <w:basedOn w:val="Normal"/>
    <w:link w:val="CommentTextChar"/>
    <w:uiPriority w:val="99"/>
    <w:semiHidden/>
    <w:rsid w:val="00EE23B1"/>
  </w:style>
  <w:style w:type="paragraph" w:styleId="CommentSubject">
    <w:name w:val="annotation subject"/>
    <w:basedOn w:val="CommentText"/>
    <w:next w:val="CommentText"/>
    <w:semiHidden/>
    <w:rsid w:val="00EE23B1"/>
    <w:rPr>
      <w:b/>
      <w:bCs/>
    </w:rPr>
  </w:style>
  <w:style w:type="paragraph" w:styleId="ListNumber">
    <w:name w:val="List Number"/>
    <w:basedOn w:val="Normal"/>
    <w:rsid w:val="00EB45CB"/>
    <w:pPr>
      <w:numPr>
        <w:numId w:val="18"/>
      </w:numPr>
      <w:spacing w:before="0" w:after="240"/>
      <w:jc w:val="both"/>
    </w:pPr>
    <w:rPr>
      <w:rFonts w:ascii="Times New Roman" w:hAnsi="Times New Roman"/>
      <w:snapToGrid/>
      <w:sz w:val="24"/>
    </w:rPr>
  </w:style>
  <w:style w:type="paragraph" w:customStyle="1" w:styleId="ListNumberLevel2">
    <w:name w:val="List Number (Level 2)"/>
    <w:basedOn w:val="Normal"/>
    <w:rsid w:val="00EB45CB"/>
    <w:pPr>
      <w:numPr>
        <w:ilvl w:val="1"/>
        <w:numId w:val="18"/>
      </w:numPr>
      <w:spacing w:before="0" w:after="240"/>
      <w:jc w:val="both"/>
    </w:pPr>
    <w:rPr>
      <w:rFonts w:ascii="Times New Roman" w:hAnsi="Times New Roman"/>
      <w:snapToGrid/>
      <w:sz w:val="24"/>
    </w:rPr>
  </w:style>
  <w:style w:type="paragraph" w:customStyle="1" w:styleId="ListNumberLevel3">
    <w:name w:val="List Number (Level 3)"/>
    <w:basedOn w:val="Normal"/>
    <w:rsid w:val="00EB45CB"/>
    <w:pPr>
      <w:numPr>
        <w:ilvl w:val="2"/>
        <w:numId w:val="18"/>
      </w:numPr>
      <w:spacing w:before="0" w:after="240"/>
      <w:jc w:val="both"/>
    </w:pPr>
    <w:rPr>
      <w:rFonts w:ascii="Times New Roman" w:hAnsi="Times New Roman"/>
      <w:snapToGrid/>
      <w:sz w:val="24"/>
    </w:rPr>
  </w:style>
  <w:style w:type="paragraph" w:customStyle="1" w:styleId="ListNumberLevel4">
    <w:name w:val="List Number (Level 4)"/>
    <w:basedOn w:val="Normal"/>
    <w:rsid w:val="00EB45CB"/>
    <w:pPr>
      <w:numPr>
        <w:ilvl w:val="3"/>
        <w:numId w:val="18"/>
      </w:numPr>
      <w:spacing w:before="0" w:after="240"/>
      <w:jc w:val="both"/>
    </w:pPr>
    <w:rPr>
      <w:rFonts w:ascii="Times New Roman" w:hAnsi="Times New Roman"/>
      <w:snapToGrid/>
      <w:sz w:val="24"/>
    </w:rPr>
  </w:style>
  <w:style w:type="character" w:customStyle="1" w:styleId="CommentTextChar">
    <w:name w:val="Comment Text Char"/>
    <w:link w:val="CommentText"/>
    <w:uiPriority w:val="99"/>
    <w:semiHidden/>
    <w:rsid w:val="00240B1F"/>
    <w:rPr>
      <w:rFonts w:ascii="Arial" w:hAnsi="Arial"/>
      <w:snapToGrid w:val="0"/>
      <w:lang w:eastAsia="en-US"/>
    </w:rPr>
  </w:style>
  <w:style w:type="paragraph" w:styleId="Revision">
    <w:name w:val="Revision"/>
    <w:hidden/>
    <w:uiPriority w:val="99"/>
    <w:semiHidden/>
    <w:rsid w:val="00AB3A36"/>
    <w:rPr>
      <w:rFonts w:ascii="Arial" w:hAnsi="Arial"/>
      <w:snapToGrid w:val="0"/>
      <w:lang w:eastAsia="en-US"/>
    </w:rPr>
  </w:style>
  <w:style w:type="paragraph" w:customStyle="1" w:styleId="Default">
    <w:name w:val="Default"/>
    <w:rsid w:val="00E76535"/>
    <w:pPr>
      <w:autoSpaceDE w:val="0"/>
      <w:autoSpaceDN w:val="0"/>
      <w:adjustRightInd w:val="0"/>
    </w:pPr>
    <w:rPr>
      <w:color w:val="000000"/>
      <w:sz w:val="24"/>
      <w:szCs w:val="24"/>
    </w:rPr>
  </w:style>
  <w:style w:type="paragraph" w:styleId="ListParagraph">
    <w:name w:val="List Paragraph"/>
    <w:basedOn w:val="Normal"/>
    <w:uiPriority w:val="34"/>
    <w:qFormat/>
    <w:rsid w:val="00583FF3"/>
    <w:pPr>
      <w:spacing w:before="0" w:after="0"/>
      <w:ind w:left="720"/>
    </w:pPr>
    <w:rPr>
      <w:rFonts w:ascii="Calibri" w:eastAsia="Calibri" w:hAnsi="Calibri"/>
      <w:snapToGrid/>
      <w:sz w:val="22"/>
      <w:szCs w:val="22"/>
    </w:rPr>
  </w:style>
  <w:style w:type="paragraph" w:customStyle="1" w:styleId="Text1">
    <w:name w:val="Text 1"/>
    <w:basedOn w:val="Normal"/>
    <w:rsid w:val="00F0405C"/>
    <w:pPr>
      <w:spacing w:before="0" w:after="240"/>
      <w:ind w:left="482"/>
      <w:jc w:val="both"/>
    </w:pPr>
    <w:rPr>
      <w:rFonts w:ascii="Times New Roman" w:eastAsia="Calibri" w:hAnsi="Times New Roman"/>
      <w:snapToGrid/>
      <w:sz w:val="24"/>
      <w:szCs w:val="24"/>
    </w:rPr>
  </w:style>
  <w:style w:type="character" w:customStyle="1" w:styleId="UnresolvedMention1">
    <w:name w:val="Unresolved Mention1"/>
    <w:basedOn w:val="DefaultParagraphFont"/>
    <w:uiPriority w:val="99"/>
    <w:semiHidden/>
    <w:unhideWhenUsed/>
    <w:rsid w:val="003F3783"/>
    <w:rPr>
      <w:color w:val="605E5C"/>
      <w:shd w:val="clear" w:color="auto" w:fill="E1DFDD"/>
    </w:rPr>
  </w:style>
  <w:style w:type="paragraph" w:customStyle="1" w:styleId="paragraph">
    <w:name w:val="paragraph"/>
    <w:basedOn w:val="Normal"/>
    <w:rsid w:val="003F3783"/>
    <w:pPr>
      <w:spacing w:before="100" w:beforeAutospacing="1" w:after="100" w:afterAutospacing="1"/>
    </w:pPr>
    <w:rPr>
      <w:rFonts w:ascii="Times New Roman" w:hAnsi="Times New Roman"/>
      <w:snapToGrid/>
      <w:sz w:val="24"/>
      <w:szCs w:val="24"/>
      <w:lang w:eastAsia="fr-BE"/>
    </w:rPr>
  </w:style>
  <w:style w:type="character" w:styleId="UnresolvedMention">
    <w:name w:val="Unresolved Mention"/>
    <w:basedOn w:val="DefaultParagraphFont"/>
    <w:uiPriority w:val="99"/>
    <w:semiHidden/>
    <w:unhideWhenUsed/>
    <w:rsid w:val="006A601D"/>
    <w:rPr>
      <w:color w:val="605E5C"/>
      <w:shd w:val="clear" w:color="auto" w:fill="E1DFDD"/>
    </w:rPr>
  </w:style>
  <w:style w:type="paragraph" w:customStyle="1" w:styleId="LegalNumPar">
    <w:name w:val="LegalNumPar"/>
    <w:basedOn w:val="Normal"/>
    <w:rsid w:val="00520999"/>
    <w:pPr>
      <w:numPr>
        <w:numId w:val="29"/>
      </w:numPr>
      <w:spacing w:line="360" w:lineRule="auto"/>
    </w:pPr>
    <w:rPr>
      <w:sz w:val="24"/>
    </w:rPr>
  </w:style>
  <w:style w:type="paragraph" w:customStyle="1" w:styleId="LegalNumPar2">
    <w:name w:val="LegalNumPar2"/>
    <w:basedOn w:val="Normal"/>
    <w:rsid w:val="00520999"/>
    <w:pPr>
      <w:numPr>
        <w:ilvl w:val="1"/>
        <w:numId w:val="29"/>
      </w:numPr>
      <w:spacing w:line="360" w:lineRule="auto"/>
    </w:pPr>
    <w:rPr>
      <w:sz w:val="24"/>
    </w:rPr>
  </w:style>
  <w:style w:type="paragraph" w:customStyle="1" w:styleId="LegalNumPar3">
    <w:name w:val="LegalNumPar3"/>
    <w:basedOn w:val="Normal"/>
    <w:rsid w:val="00520999"/>
    <w:pPr>
      <w:numPr>
        <w:ilvl w:val="2"/>
        <w:numId w:val="29"/>
      </w:numPr>
      <w:spacing w:line="36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73758">
      <w:bodyDiv w:val="1"/>
      <w:marLeft w:val="0"/>
      <w:marRight w:val="0"/>
      <w:marTop w:val="0"/>
      <w:marBottom w:val="0"/>
      <w:divBdr>
        <w:top w:val="none" w:sz="0" w:space="0" w:color="auto"/>
        <w:left w:val="none" w:sz="0" w:space="0" w:color="auto"/>
        <w:bottom w:val="none" w:sz="0" w:space="0" w:color="auto"/>
        <w:right w:val="none" w:sz="0" w:space="0" w:color="auto"/>
      </w:divBdr>
    </w:div>
    <w:div w:id="151799194">
      <w:bodyDiv w:val="1"/>
      <w:marLeft w:val="0"/>
      <w:marRight w:val="0"/>
      <w:marTop w:val="0"/>
      <w:marBottom w:val="0"/>
      <w:divBdr>
        <w:top w:val="none" w:sz="0" w:space="0" w:color="auto"/>
        <w:left w:val="none" w:sz="0" w:space="0" w:color="auto"/>
        <w:bottom w:val="none" w:sz="0" w:space="0" w:color="auto"/>
        <w:right w:val="none" w:sz="0" w:space="0" w:color="auto"/>
      </w:divBdr>
    </w:div>
    <w:div w:id="168906179">
      <w:bodyDiv w:val="1"/>
      <w:marLeft w:val="0"/>
      <w:marRight w:val="0"/>
      <w:marTop w:val="0"/>
      <w:marBottom w:val="0"/>
      <w:divBdr>
        <w:top w:val="none" w:sz="0" w:space="0" w:color="auto"/>
        <w:left w:val="none" w:sz="0" w:space="0" w:color="auto"/>
        <w:bottom w:val="none" w:sz="0" w:space="0" w:color="auto"/>
        <w:right w:val="none" w:sz="0" w:space="0" w:color="auto"/>
      </w:divBdr>
    </w:div>
    <w:div w:id="421151054">
      <w:bodyDiv w:val="1"/>
      <w:marLeft w:val="0"/>
      <w:marRight w:val="0"/>
      <w:marTop w:val="0"/>
      <w:marBottom w:val="0"/>
      <w:divBdr>
        <w:top w:val="none" w:sz="0" w:space="0" w:color="auto"/>
        <w:left w:val="none" w:sz="0" w:space="0" w:color="auto"/>
        <w:bottom w:val="none" w:sz="0" w:space="0" w:color="auto"/>
        <w:right w:val="none" w:sz="0" w:space="0" w:color="auto"/>
      </w:divBdr>
    </w:div>
    <w:div w:id="476537894">
      <w:bodyDiv w:val="1"/>
      <w:marLeft w:val="0"/>
      <w:marRight w:val="0"/>
      <w:marTop w:val="0"/>
      <w:marBottom w:val="0"/>
      <w:divBdr>
        <w:top w:val="none" w:sz="0" w:space="0" w:color="auto"/>
        <w:left w:val="none" w:sz="0" w:space="0" w:color="auto"/>
        <w:bottom w:val="none" w:sz="0" w:space="0" w:color="auto"/>
        <w:right w:val="none" w:sz="0" w:space="0" w:color="auto"/>
      </w:divBdr>
    </w:div>
    <w:div w:id="70865179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funding-tenders/opportunities/portal/" TargetMode="External"/><Relationship Id="rId13" Type="http://schemas.openxmlformats.org/officeDocument/2006/relationships/hyperlink" Target="https://wikis.ec.europa.eu/display/ExactExternalWikiFR/Annex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sid.worldbank.org/"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sid.worldbank.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c.europa.eu/info/funding-tenders/opportunities/porta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c.europa.eu/info/funding-tenders/opportunities/portal/" TargetMode="External"/><Relationship Id="rId14" Type="http://schemas.openxmlformats.org/officeDocument/2006/relationships/hyperlink" Target="https://wikis.ec.europa.eu/display/ExactExternalWikiFR/Annexe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myintracomm.ec.europa.eu/corp/budget/treasury-accounting/recovery/Pages/recovery-order-statistics.aspx" TargetMode="External"/><Relationship Id="rId2" Type="http://schemas.openxmlformats.org/officeDocument/2006/relationships/hyperlink" Target="http://www.iccwbo.org/incoterms/" TargetMode="External"/><Relationship Id="rId1" Type="http://schemas.openxmlformats.org/officeDocument/2006/relationships/hyperlink" Target="http://data.europa.eu/eli/reg/2024/792/oj" TargetMode="External"/><Relationship Id="rId4" Type="http://schemas.openxmlformats.org/officeDocument/2006/relationships/hyperlink" Target="http://www.iccwbo.org/incote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5B7ED-67BE-46AA-9A80-221A7F9AB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6001</Words>
  <Characters>33072</Characters>
  <Application>Microsoft Office Word</Application>
  <DocSecurity>0</DocSecurity>
  <Lines>570</Lines>
  <Paragraphs>271</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XXXXXXX</Company>
  <LinksUpToDate>false</LinksUpToDate>
  <CharactersWithSpaces>38802</CharactersWithSpaces>
  <SharedDoc>false</SharedDoc>
  <HLinks>
    <vt:vector size="12" baseType="variant">
      <vt:variant>
        <vt:i4>4849790</vt:i4>
      </vt:variant>
      <vt:variant>
        <vt:i4>0</vt:i4>
      </vt:variant>
      <vt:variant>
        <vt:i4>0</vt:i4>
      </vt:variant>
      <vt:variant>
        <vt:i4>5</vt:i4>
      </vt:variant>
      <vt:variant>
        <vt:lpwstr>https://ec.europa.eu/europeaid/funding/communication-and-visibility-manual-eu-external-actions_en</vt:lpwstr>
      </vt:variant>
      <vt:variant>
        <vt:lpwstr/>
      </vt:variant>
      <vt:variant>
        <vt:i4>2097198</vt:i4>
      </vt:variant>
      <vt:variant>
        <vt:i4>0</vt:i4>
      </vt:variant>
      <vt:variant>
        <vt:i4>0</vt:i4>
      </vt:variant>
      <vt:variant>
        <vt:i4>5</vt:i4>
      </vt:variant>
      <vt:variant>
        <vt:lpwstr>http://www.iccwbo.org/products-and-services/trade-facilitation/incoterms-2010/the-incoterms-rules/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XXXXXXX</dc:creator>
  <cp:keywords/>
  <cp:lastModifiedBy>HENDRIX Erwin (INTPA)</cp:lastModifiedBy>
  <cp:revision>2</cp:revision>
  <cp:lastPrinted>2014-02-11T14:32:00Z</cp:lastPrinted>
  <dcterms:created xsi:type="dcterms:W3CDTF">2025-03-17T17:48:00Z</dcterms:created>
  <dcterms:modified xsi:type="dcterms:W3CDTF">2025-03-17T17:48:00Z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duboile</vt:lpwstr>
  </property>
  <property fmtid="{D5CDD505-2E9C-101B-9397-08002B2CF9AE}" pid="3" name="MSIP_Label_6bd9ddd1-4d20-43f6-abfa-fc3c07406f94_Enabled">
    <vt:lpwstr>true</vt:lpwstr>
  </property>
  <property fmtid="{D5CDD505-2E9C-101B-9397-08002B2CF9AE}" pid="4" name="MSIP_Label_6bd9ddd1-4d20-43f6-abfa-fc3c07406f94_SetDate">
    <vt:lpwstr>2023-01-30T14:59:56Z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80bce80d-9a0a-4ba6-ad51-296613edf76f</vt:lpwstr>
  </property>
  <property fmtid="{D5CDD505-2E9C-101B-9397-08002B2CF9AE}" pid="9" name="MSIP_Label_6bd9ddd1-4d20-43f6-abfa-fc3c07406f94_ContentBits">
    <vt:lpwstr>0</vt:lpwstr>
  </property>
</Properties>
</file>